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Freedom-to-Operate Opinion — Summary</w:t>
      </w:r>
    </w:p>
    <w:p>
      <w:pPr>
        <w:pStyle w:val="IntenseQuote"/>
      </w:pPr>
      <w:r>
        <w:rPr>
          <w:i/>
        </w:rPr>
        <w:t xml:space="preserve">Sample document. Summarizes the Wilmer Hale FTO opinion dated </w:t>
      </w:r>
      <w:r>
        <w:rPr>
          <w:b/>
          <w:i/>
        </w:rPr>
        <w:t>November 2025</w:t>
      </w:r>
      <w:r>
        <w:rPr>
          <w:i/>
        </w:rPr>
        <w:t>. Full 76-page opinion available at Tier 3 under common-interest privilege agreement.</w:t>
      </w:r>
    </w:p>
    <w:p>
      <w:pPr>
        <w:pStyle w:val="Heading1"/>
      </w:pPr>
      <w:r/>
      <w:r>
        <w:rPr/>
        <w:t>Scope of Review</w:t>
      </w:r>
    </w:p>
    <w:p>
      <w:r>
        <w:rPr/>
        <w:t>Wilmer Hale conducted a freedom-to-operate analysis covering EchoPilot's commercially deployed product as cleared under K243178 (the 2024 510(k)) and the auto-strain feature pending under De Novo. Scope included:</w:t>
      </w:r>
    </w:p>
    <w:p>
      <w:pPr>
        <w:pStyle w:val="ListBullet"/>
      </w:pPr>
      <w:r>
        <w:rPr/>
        <w:t>US patents and published applications in classes A61B 8/00 (ultrasound diagnostics), G06T 7/00 (image analysis), and G16H 50/20 (clinical decision support)</w:t>
      </w:r>
    </w:p>
    <w:p>
      <w:pPr>
        <w:pStyle w:val="ListBullet"/>
      </w:pPr>
      <w:r>
        <w:rPr/>
        <w:t>EPO published applications in equivalent CPC classes</w:t>
      </w:r>
    </w:p>
    <w:p>
      <w:pPr>
        <w:pStyle w:val="ListBullet"/>
      </w:pPr>
      <w:r>
        <w:rPr/>
        <w:t>JPO published applications in equivalent F-terms</w:t>
      </w:r>
    </w:p>
    <w:p>
      <w:pPr>
        <w:pStyle w:val="ListBullet"/>
      </w:pPr>
      <w:r>
        <w:rPr/>
        <w:t>Search through October 31, 2025</w:t>
      </w:r>
    </w:p>
    <w:p>
      <w:r>
        <w:rPr/>
        <w:t>Counsel reviewed approximately 1,840 references, narrowing to 47 references warranting claim-by-claim analysis and 6 references warranting deep claim-construction analysis.</w:t>
      </w:r>
    </w:p>
    <w:p>
      <w:pPr>
        <w:pStyle w:val="Heading1"/>
      </w:pPr>
      <w:r/>
      <w:r>
        <w:rPr/>
        <w:t>Headline Conclusion</w:t>
      </w:r>
    </w:p>
    <w:p>
      <w:pPr>
        <w:pStyle w:val="IntenseQuote"/>
      </w:pPr>
      <w:r>
        <w:rPr>
          <w:i/>
        </w:rPr>
        <w:t xml:space="preserve">Counsel's opinion is that HealthCo's commercial use of EchoPilot </w:t>
      </w:r>
      <w:r>
        <w:rPr>
          <w:b/>
          <w:i/>
        </w:rPr>
        <w:t>does not infringe any valid and enforceable claim</w:t>
      </w:r>
      <w:r>
        <w:rPr>
          <w:i/>
        </w:rPr>
        <w:t xml:space="preserve"> of the patents and applications reviewed, and that no reference identified would, if asserted, present a substantial likelihood of success on infringement.</w:t>
      </w:r>
    </w:p>
    <w:p>
      <w:pPr>
        <w:pStyle w:val="Heading1"/>
      </w:pPr>
      <w:r/>
      <w:r>
        <w:rPr/>
        <w:t>References of Note</w:t>
      </w:r>
    </w:p>
    <w:p>
      <w:r>
        <w:rPr/>
        <w:t>Two competitor patent families warranted detailed claim-construction analysis:</w:t>
      </w:r>
    </w:p>
    <w:p>
      <w:pPr>
        <w:pStyle w:val="Heading2"/>
      </w:pPr>
      <w:r/>
      <w:r>
        <w:rPr/>
        <w:t>Ultromics — WO2022/048XXX A1 ("Methods for Cardiac Disease Detection from Echocardiograms")</w:t>
      </w:r>
    </w:p>
    <w:p>
      <w:r>
        <w:rPr/>
        <w:t xml:space="preserve">The Ultromics family covers a broad workflow for ML-based detection of structural heart disease from echo. Independent claims require </w:t>
      </w:r>
      <w:r>
        <w:rPr>
          <w:b/>
        </w:rPr>
        <w:t>(a)</w:t>
      </w:r>
      <w:r>
        <w:rPr/>
        <w:t xml:space="preserve"> training on a single-vendor echo cohort and </w:t>
      </w:r>
      <w:r>
        <w:rPr>
          <w:b/>
        </w:rPr>
        <w:t>(b)</w:t>
      </w:r>
      <w:r>
        <w:rPr/>
        <w:t xml:space="preserve"> outputting a binary classification.</w:t>
      </w:r>
    </w:p>
    <w:p>
      <w:r>
        <w:rPr/>
        <w:t>EchoPilot trains on a deliberately multi-vendor cohort (GE, Philips, Siemens, Canon) and outputs a continuous probability with feature attribution rather than binary classification. Counsel concludes both elements are absent and no plausible doctrine-of-equivalents reading reaches HealthCo's product.</w:t>
      </w:r>
    </w:p>
    <w:p>
      <w:pPr>
        <w:pStyle w:val="Heading2"/>
      </w:pPr>
      <w:r/>
      <w:r>
        <w:rPr/>
        <w:t>GE Healthcare — WO2021/127XXX A1 ("Automated Strain Measurement in Cardiac Imaging")</w:t>
      </w:r>
    </w:p>
    <w:p>
      <w:r>
        <w:rPr/>
        <w:t xml:space="preserve">The GE family covers automated strain measurement workflows. Independent claims require an </w:t>
      </w:r>
      <w:r>
        <w:rPr>
          <w:b/>
        </w:rPr>
        <w:t>operator-defined region of interest</w:t>
      </w:r>
      <w:r>
        <w:rPr/>
        <w:t xml:space="preserve"> as input. EchoPilot's auto-strain pipeline (the subject of HealthCo's own US 11,923,118 and the De Novo submission) is fully automatic and does not accept operator ROI input. Counsel concludes the GE claims are not infringed.</w:t>
      </w:r>
    </w:p>
    <w:p>
      <w:pPr>
        <w:pStyle w:val="Heading1"/>
      </w:pPr>
      <w:r/>
      <w:r>
        <w:rPr/>
        <w:t>Areas of Residual Risk</w:t>
      </w:r>
    </w:p>
    <w:p>
      <w:r>
        <w:rPr/>
        <w:t>Two minor risks identified, both deemed manageable:</w:t>
      </w:r>
    </w:p>
    <w:p>
      <w:pPr>
        <w:pStyle w:val="ListNumber"/>
      </w:pPr>
      <w:r>
        <w:rPr>
          <w:b/>
        </w:rPr>
        <w:t>Pending claims in HC-2022-A's competitor space</w:t>
      </w:r>
      <w:r>
        <w:rPr/>
        <w:t xml:space="preserve"> — A competitor (Caption Health, now GE Caption) has a pending US application that, if granted with claims as filed, would warrant design-around. Counsel rates probability of grant-as-filed at &lt;30%; design-around path identified if needed.</w:t>
      </w:r>
    </w:p>
    <w:p>
      <w:pPr>
        <w:pStyle w:val="ListNumber"/>
      </w:pPr>
      <w:r>
        <w:rPr>
          <w:b/>
        </w:rPr>
        <w:t>EPO uncertainty for federated-training claims</w:t>
      </w:r>
      <w:r>
        <w:rPr/>
        <w:t xml:space="preserve"> — European patent law's narrower software-claims doctrine may produce different outcomes from US analysis. Counsel recommends EPO-specific FTO refresh before EU commercial launch.</w:t>
      </w:r>
    </w:p>
    <w:p>
      <w:pPr>
        <w:pStyle w:val="Heading1"/>
      </w:pPr>
      <w:r/>
      <w:r>
        <w:rPr/>
        <w:t>Validity Considerations</w:t>
      </w:r>
    </w:p>
    <w:p>
      <w:r>
        <w:rPr/>
        <w:t>For the two reference families above, counsel also identified prior art that, in their view, would create a substantial likelihood of invalidity if either family's claims were ever asserted against HealthCo. Specific invalidating references are detailed in the full opinion.</w:t>
      </w:r>
    </w:p>
    <w:p>
      <w:pPr>
        <w:pStyle w:val="Heading1"/>
      </w:pPr>
      <w:r/>
      <w:r>
        <w:rPr/>
        <w:t>Recommended Actions</w:t>
      </w:r>
    </w:p>
    <w:p>
      <w:r>
        <w:rPr/>
        <w:t>Counsel's recommendations (all accepted by HealthCo):</w:t>
      </w:r>
    </w:p>
    <w:p>
      <w:pPr>
        <w:pStyle w:val="ListBullet"/>
      </w:pPr>
      <w:r>
        <w:rPr/>
        <w:t>Continue prosecution of HC-2022-A continuations to box in the Caption Health application</w:t>
      </w:r>
    </w:p>
    <w:p>
      <w:pPr>
        <w:pStyle w:val="ListBullet"/>
      </w:pPr>
      <w:r>
        <w:rPr/>
        <w:t>Refresh FTO at EPO-launch decision point</w:t>
      </w:r>
    </w:p>
    <w:p>
      <w:pPr>
        <w:pStyle w:val="ListBullet"/>
      </w:pPr>
      <w:r>
        <w:rPr/>
        <w:t>File a defensive publication on edge-deployment compression to prevent third-party blocking patents</w:t>
      </w:r>
    </w:p>
    <w:p>
      <w:pPr>
        <w:pStyle w:val="Heading1"/>
      </w:pPr>
      <w:r/>
      <w:r>
        <w:rPr/>
        <w:t>Standard Caveats</w:t>
      </w:r>
    </w:p>
    <w:p>
      <w:r>
        <w:rPr/>
        <w:t>This is a non-infringement opinion of counsel, not a guarantee. It does not address willfulness defenses (separate analysis available). Material new product features will require an opinion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