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Patent Portfolio Summary</w:t>
      </w:r>
    </w:p>
    <w:p>
      <w:pPr>
        <w:pStyle w:val="IntenseQuote"/>
      </w:pPr>
      <w:r>
        <w:rPr>
          <w:i/>
        </w:rPr>
        <w:t>Sample document. Patent numbers and titles are illustrative; do not rely on for any legal purpose.</w:t>
      </w:r>
    </w:p>
    <w:p>
      <w:r>
        <w:rPr/>
        <w:t xml:space="preserve">HealthCo's portfolio comprises </w:t>
      </w:r>
      <w:r>
        <w:rPr>
          <w:b/>
        </w:rPr>
        <w:t>4 issued US patents and 8 pending applications</w:t>
      </w:r>
      <w:r>
        <w:rPr/>
        <w:t xml:space="preserve"> across the US, Europe (EPO), and Japan (JPO). Counsel: Wilmer Cutler Pickering Hale and Dorr LLP (Boston). All inventions are assigned to HealthCo, Inc. via recorded PIIA-derived assignments.</w:t>
      </w:r>
    </w:p>
    <w:p>
      <w:pPr>
        <w:pStyle w:val="Heading1"/>
      </w:pPr>
      <w:r/>
      <w:r>
        <w:rPr/>
        <w:t>Issued Patents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US Pat. No.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Issued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Expiration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US 11,847,302</w:t>
            </w:r>
          </w:p>
        </w:tc>
        <w:tc>
          <w:tcPr>
            <w:tcW w:type="dxa" w:w="1728"/>
          </w:tcPr>
          <w:p>
            <w:r/>
            <w:r>
              <w:rPr/>
              <w:t>Method for AI-based detection of cardiac amyloidosis from echocardiogram imagery</w:t>
            </w:r>
          </w:p>
        </w:tc>
        <w:tc>
          <w:tcPr>
            <w:tcW w:type="dxa" w:w="1728"/>
          </w:tcPr>
          <w:p>
            <w:r/>
            <w:r>
              <w:rPr/>
              <w:t>Dec 2023</w:t>
            </w:r>
          </w:p>
        </w:tc>
        <w:tc>
          <w:tcPr>
            <w:tcW w:type="dxa" w:w="1728"/>
          </w:tcPr>
          <w:p>
            <w:r/>
            <w:r>
              <w:rPr/>
              <w:t>Apr 2021</w:t>
            </w:r>
          </w:p>
        </w:tc>
        <w:tc>
          <w:tcPr>
            <w:tcW w:type="dxa" w:w="1728"/>
          </w:tcPr>
          <w:p>
            <w:r/>
            <w:r>
              <w:rPr/>
              <w:t>2041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US 11,923,118</w:t>
            </w:r>
          </w:p>
        </w:tc>
        <w:tc>
          <w:tcPr>
            <w:tcW w:type="dxa" w:w="1728"/>
          </w:tcPr>
          <w:p>
            <w:r/>
            <w:r>
              <w:rPr/>
              <w:t>System and method for automated longitudinal strain measurement in transthoracic echocardiograms</w:t>
            </w:r>
          </w:p>
        </w:tc>
        <w:tc>
          <w:tcPr>
            <w:tcW w:type="dxa" w:w="1728"/>
          </w:tcPr>
          <w:p>
            <w:r/>
            <w:r>
              <w:rPr/>
              <w:t>Mar 2024</w:t>
            </w:r>
          </w:p>
        </w:tc>
        <w:tc>
          <w:tcPr>
            <w:tcW w:type="dxa" w:w="1728"/>
          </w:tcPr>
          <w:p>
            <w:r/>
            <w:r>
              <w:rPr/>
              <w:t>Aug 2021</w:t>
            </w:r>
          </w:p>
        </w:tc>
        <w:tc>
          <w:tcPr>
            <w:tcW w:type="dxa" w:w="1728"/>
          </w:tcPr>
          <w:p>
            <w:r/>
            <w:r>
              <w:rPr/>
              <w:t>2041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US 12,014,476</w:t>
            </w:r>
          </w:p>
        </w:tc>
        <w:tc>
          <w:tcPr>
            <w:tcW w:type="dxa" w:w="1728"/>
          </w:tcPr>
          <w:p>
            <w:r/>
            <w:r>
              <w:rPr/>
              <w:t>Multi-view fusion architecture for cardiac chamber segmentation in echocardiography</w:t>
            </w:r>
          </w:p>
        </w:tc>
        <w:tc>
          <w:tcPr>
            <w:tcW w:type="dxa" w:w="1728"/>
          </w:tcPr>
          <w:p>
            <w:r/>
            <w:r>
              <w:rPr/>
              <w:t>Jun 2024</w:t>
            </w:r>
          </w:p>
        </w:tc>
        <w:tc>
          <w:tcPr>
            <w:tcW w:type="dxa" w:w="1728"/>
          </w:tcPr>
          <w:p>
            <w:r/>
            <w:r>
              <w:rPr/>
              <w:t>Nov 2021</w:t>
            </w:r>
          </w:p>
        </w:tc>
        <w:tc>
          <w:tcPr>
            <w:tcW w:type="dxa" w:w="1728"/>
          </w:tcPr>
          <w:p>
            <w:r/>
            <w:r>
              <w:rPr/>
              <w:t>2041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US 12,089,941</w:t>
            </w:r>
          </w:p>
        </w:tc>
        <w:tc>
          <w:tcPr>
            <w:tcW w:type="dxa" w:w="1728"/>
          </w:tcPr>
          <w:p>
            <w:r/>
            <w:r>
              <w:rPr/>
              <w:t>Quality-gating method for clinical echo workflows using AI confidence scoring</w:t>
            </w:r>
          </w:p>
        </w:tc>
        <w:tc>
          <w:tcPr>
            <w:tcW w:type="dxa" w:w="1728"/>
          </w:tcPr>
          <w:p>
            <w:r/>
            <w:r>
              <w:rPr/>
              <w:t>Sep 2024</w:t>
            </w:r>
          </w:p>
        </w:tc>
        <w:tc>
          <w:tcPr>
            <w:tcW w:type="dxa" w:w="1728"/>
          </w:tcPr>
          <w:p>
            <w:r/>
            <w:r>
              <w:rPr/>
              <w:t>Feb 2022</w:t>
            </w:r>
          </w:p>
        </w:tc>
        <w:tc>
          <w:tcPr>
            <w:tcW w:type="dxa" w:w="1728"/>
          </w:tcPr>
          <w:p>
            <w:r/>
            <w:r>
              <w:rPr/>
              <w:t>2042</w:t>
            </w:r>
          </w:p>
        </w:tc>
      </w:tr>
    </w:tbl>
    <w:p>
      <w:pPr>
        <w:pStyle w:val="Heading2"/>
      </w:pPr>
      <w:r/>
      <w:r>
        <w:rPr/>
        <w:t>Claim coverage at a glance</w:t>
      </w:r>
    </w:p>
    <w:p>
      <w:pPr>
        <w:pStyle w:val="ListBullet"/>
      </w:pPr>
      <w:r>
        <w:rPr>
          <w:b/>
        </w:rPr>
        <w:t>'302</w:t>
      </w:r>
      <w:r>
        <w:rPr/>
        <w:t xml:space="preserve"> — Independent claims cover the workflow of receiving an echocardiogram study, extracting apical four-chamber views, applying a convolutional neural network trained on amyloidosis-positive cohorts, and outputting a probability score with feature attribution. Dependent claims cover specific architectures (3D-CNN with temporal attention) and training set characteristics (multi-vendor, multi-site).</w:t>
      </w:r>
    </w:p>
    <w:p>
      <w:pPr>
        <w:pStyle w:val="ListBullet"/>
      </w:pPr>
      <w:r>
        <w:rPr>
          <w:b/>
        </w:rPr>
        <w:t>'118</w:t>
      </w:r>
      <w:r>
        <w:rPr/>
        <w:t xml:space="preserve"> — Auto-strain measurement claims central to the in-progress De Novo submission. Independent claims cover speckle-tracking on auto-segmented endocardial borders without operator-defined ROI.</w:t>
      </w:r>
    </w:p>
    <w:p>
      <w:pPr>
        <w:pStyle w:val="ListBullet"/>
      </w:pPr>
      <w:r>
        <w:rPr>
          <w:b/>
        </w:rPr>
        <w:t>'476</w:t>
      </w:r>
      <w:r>
        <w:rPr/>
        <w:t xml:space="preserve"> — Multi-view fusion of A4C + PLAX + PSAX views for chamber segmentation; differentiates from competitor single-view approaches.</w:t>
      </w:r>
    </w:p>
    <w:p>
      <w:pPr>
        <w:pStyle w:val="ListBullet"/>
      </w:pPr>
      <w:r>
        <w:rPr>
          <w:b/>
        </w:rPr>
        <w:t>'941</w:t>
      </w:r>
      <w:r>
        <w:rPr/>
        <w:t xml:space="preserve"> — Confidence-gating that flags studies for manual review; enables FDA-favored "AI assist, not autopilot" framing.</w:t>
      </w:r>
    </w:p>
    <w:p>
      <w:pPr>
        <w:pStyle w:val="Heading1"/>
      </w:pPr>
      <w:r/>
      <w:r>
        <w:rPr/>
        <w:t>Pending Applications</w:t>
      </w:r>
    </w:p>
    <w:p>
      <w:r>
        <w:rPr/>
        <w:t>8 applications pending across US (4), EPO (3), JPO (1):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Family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Region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Subject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HC-2022-A</w:t>
            </w:r>
          </w:p>
        </w:tc>
        <w:tc>
          <w:tcPr>
            <w:tcW w:type="dxa" w:w="2160"/>
          </w:tcPr>
          <w:p>
            <w:r/>
            <w:r>
              <w:rPr/>
              <w:t>US continuation</w:t>
            </w:r>
          </w:p>
        </w:tc>
        <w:tc>
          <w:tcPr>
            <w:tcW w:type="dxa" w:w="2160"/>
          </w:tcPr>
          <w:p>
            <w:r/>
            <w:r>
              <w:rPr/>
              <w:t>Office action (response filed Jan 2026)</w:t>
            </w:r>
          </w:p>
        </w:tc>
        <w:tc>
          <w:tcPr>
            <w:tcW w:type="dxa" w:w="2160"/>
          </w:tcPr>
          <w:p>
            <w:r/>
            <w:r>
              <w:rPr/>
              <w:t>Federated training across health-system data silos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HC-2022-A</w:t>
            </w:r>
          </w:p>
        </w:tc>
        <w:tc>
          <w:tcPr>
            <w:tcW w:type="dxa" w:w="2160"/>
          </w:tcPr>
          <w:p>
            <w:r/>
            <w:r>
              <w:rPr/>
              <w:t>EPO</w:t>
            </w:r>
          </w:p>
        </w:tc>
        <w:tc>
          <w:tcPr>
            <w:tcW w:type="dxa" w:w="2160"/>
          </w:tcPr>
          <w:p>
            <w:r/>
            <w:r>
              <w:rPr/>
              <w:t>Examination</w:t>
            </w:r>
          </w:p>
        </w:tc>
        <w:tc>
          <w:tcPr>
            <w:tcW w:type="dxa" w:w="2160"/>
          </w:tcPr>
          <w:p>
            <w:r/>
            <w:r>
              <w:rPr/>
              <w:t>Same family, EPO designation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HC-2023-B</w:t>
            </w:r>
          </w:p>
        </w:tc>
        <w:tc>
          <w:tcPr>
            <w:tcW w:type="dxa" w:w="2160"/>
          </w:tcPr>
          <w:p>
            <w:r/>
            <w:r>
              <w:rPr/>
              <w:t>US, EPO, JPO</w:t>
            </w:r>
          </w:p>
        </w:tc>
        <w:tc>
          <w:tcPr>
            <w:tcW w:type="dxa" w:w="2160"/>
          </w:tcPr>
          <w:p>
            <w:r/>
            <w:r>
              <w:rPr/>
              <w:t>First office action pending</w:t>
            </w:r>
          </w:p>
        </w:tc>
        <w:tc>
          <w:tcPr>
            <w:tcW w:type="dxa" w:w="2160"/>
          </w:tcPr>
          <w:p>
            <w:r/>
            <w:r>
              <w:rPr/>
              <w:t>Strain-derived prognostic risk score for amyloidosis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HC-2024-C</w:t>
            </w:r>
          </w:p>
        </w:tc>
        <w:tc>
          <w:tcPr>
            <w:tcW w:type="dxa" w:w="2160"/>
          </w:tcPr>
          <w:p>
            <w:r/>
            <w:r>
              <w:rPr/>
              <w:t>US provisional → non-provisional</w:t>
            </w:r>
          </w:p>
        </w:tc>
        <w:tc>
          <w:tcPr>
            <w:tcW w:type="dxa" w:w="2160"/>
          </w:tcPr>
          <w:p>
            <w:r/>
            <w:r>
              <w:rPr/>
              <w:t>Filed Q1 2026</w:t>
            </w:r>
          </w:p>
        </w:tc>
        <w:tc>
          <w:tcPr>
            <w:tcW w:type="dxa" w:w="2160"/>
          </w:tcPr>
          <w:p>
            <w:r/>
            <w:r>
              <w:rPr/>
              <w:t>Cardio-oncology indication extension methods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HC-2024-D</w:t>
            </w:r>
          </w:p>
        </w:tc>
        <w:tc>
          <w:tcPr>
            <w:tcW w:type="dxa" w:w="2160"/>
          </w:tcPr>
          <w:p>
            <w:r/>
            <w:r>
              <w:rPr/>
              <w:t>US</w:t>
            </w:r>
          </w:p>
        </w:tc>
        <w:tc>
          <w:tcPr>
            <w:tcW w:type="dxa" w:w="2160"/>
          </w:tcPr>
          <w:p>
            <w:r/>
            <w:r>
              <w:rPr/>
              <w:t>Provisional</w:t>
            </w:r>
          </w:p>
        </w:tc>
        <w:tc>
          <w:tcPr>
            <w:tcW w:type="dxa" w:w="2160"/>
          </w:tcPr>
          <w:p>
            <w:r/>
            <w:r>
              <w:rPr/>
              <w:t>Edge-deployment compression for shipboard / rural deployment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HC-2025-E</w:t>
            </w:r>
          </w:p>
        </w:tc>
        <w:tc>
          <w:tcPr>
            <w:tcW w:type="dxa" w:w="2160"/>
          </w:tcPr>
          <w:p>
            <w:r/>
            <w:r>
              <w:rPr/>
              <w:t>US</w:t>
            </w:r>
          </w:p>
        </w:tc>
        <w:tc>
          <w:tcPr>
            <w:tcW w:type="dxa" w:w="2160"/>
          </w:tcPr>
          <w:p>
            <w:r/>
            <w:r>
              <w:rPr/>
              <w:t>Provisional</w:t>
            </w:r>
          </w:p>
        </w:tc>
        <w:tc>
          <w:tcPr>
            <w:tcW w:type="dxa" w:w="2160"/>
          </w:tcPr>
          <w:p>
            <w:r/>
            <w:r>
              <w:rPr/>
              <w:t>Active learning protocol for rare-disease imaging models</w:t>
            </w:r>
          </w:p>
        </w:tc>
      </w:tr>
    </w:tbl>
    <w:p>
      <w:pPr>
        <w:pStyle w:val="Heading1"/>
      </w:pPr>
      <w:r/>
      <w:r>
        <w:rPr/>
        <w:t>Strategic Notes</w:t>
      </w:r>
    </w:p>
    <w:p>
      <w:pPr>
        <w:pStyle w:val="ListBullet"/>
      </w:pPr>
      <w:r>
        <w:rPr>
          <w:b/>
        </w:rPr>
        <w:t>Priority chain integrity</w:t>
      </w:r>
      <w:r>
        <w:rPr/>
        <w:t xml:space="preserve"> — All issued patents share earliest priority dates well before any competitor's published applications in the cardiac amyloidosis AI space.</w:t>
      </w:r>
    </w:p>
    <w:p>
      <w:pPr>
        <w:pStyle w:val="ListBullet"/>
      </w:pPr>
      <w:r>
        <w:rPr>
          <w:b/>
        </w:rPr>
        <w:t>International coverage</w:t>
      </w:r>
      <w:r>
        <w:rPr/>
        <w:t xml:space="preserve"> — Major commercial geographies (US, EU5, Japan) have at least one pending or issued asset per technology family. Canada and Australia are deferred (cost/coverage tradeoff).</w:t>
      </w:r>
    </w:p>
    <w:p>
      <w:pPr>
        <w:pStyle w:val="ListBullet"/>
      </w:pPr>
      <w:r>
        <w:rPr>
          <w:b/>
        </w:rPr>
        <w:t>Continuations</w:t>
      </w:r>
      <w:r>
        <w:rPr/>
        <w:t xml:space="preserve"> — HealthCo files continuations on every issued case to preserve flexibility against design-arounds.</w:t>
      </w:r>
    </w:p>
    <w:p>
      <w:pPr>
        <w:pStyle w:val="Heading1"/>
      </w:pPr>
      <w:r/>
      <w:r>
        <w:rPr/>
        <w:t>Maintenance and Costs</w:t>
      </w:r>
    </w:p>
    <w:p>
      <w:r>
        <w:rPr/>
        <w:t>Annual IP spend (2026 plan): $420K, comprising prosecution, foreign filings, and maintenance fees. Wilmer Hale dockets next-action deadlines; no near-term deadlines at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