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Trade Secrets Inventory</w:t>
      </w:r>
    </w:p>
    <w:p>
      <w:pPr>
        <w:pStyle w:val="IntenseQuote"/>
      </w:pPr>
      <w:r>
        <w:rPr>
          <w:i/>
        </w:rPr>
        <w:t>Sample document — Tier 3 only. This inventory itself is treated as trade-secret material under HealthCo's information classification policy.</w:t>
      </w:r>
    </w:p>
    <w:p>
      <w:r>
        <w:rPr/>
        <w:t>This document catalogs HealthCo's trade-secret assets — categories of proprietary information that are protected via secrecy rather than patent. Each item is reviewed annually by the CTO and General Counsel for continued classification.</w:t>
      </w:r>
    </w:p>
    <w:p>
      <w:pPr>
        <w:pStyle w:val="Heading1"/>
      </w:pPr>
      <w:r/>
      <w:r>
        <w:rPr/>
        <w:t>Classification Framework</w:t>
      </w:r>
    </w:p>
    <w:p>
      <w:r>
        <w:rPr/>
        <w:t>HealthCo uses a three-level classification:</w:t>
      </w:r>
    </w:p>
    <w:p>
      <w:pPr>
        <w:pStyle w:val="ListBullet"/>
      </w:pPr>
      <w:r>
        <w:rPr>
          <w:b/>
        </w:rPr>
        <w:t>TS-A (Critical)</w:t>
      </w:r>
      <w:r>
        <w:rPr/>
        <w:t xml:space="preserve"> — Disclosure would cause material competitive harm; access restricted to &lt;10 named individuals; access logged.</w:t>
      </w:r>
    </w:p>
    <w:p>
      <w:pPr>
        <w:pStyle w:val="ListBullet"/>
      </w:pPr>
      <w:r>
        <w:rPr>
          <w:b/>
        </w:rPr>
        <w:t>TS-B (Sensitive)</w:t>
      </w:r>
      <w:r>
        <w:rPr/>
        <w:t xml:space="preserve"> — Disclosure would cause meaningful but recoverable harm; access restricted to engineering and clinical leadership.</w:t>
      </w:r>
    </w:p>
    <w:p>
      <w:pPr>
        <w:pStyle w:val="ListBullet"/>
      </w:pPr>
      <w:r>
        <w:rPr>
          <w:b/>
        </w:rPr>
        <w:t>TS-C (Internal)</w:t>
      </w:r>
      <w:r>
        <w:rPr/>
        <w:t xml:space="preserve"> — Confidential but broadly available within the company.</w:t>
      </w:r>
    </w:p>
    <w:p>
      <w:pPr>
        <w:pStyle w:val="Heading1"/>
      </w:pPr>
      <w:r/>
      <w:r>
        <w:rPr/>
        <w:t>Inventory</w:t>
      </w:r>
    </w:p>
    <w:p>
      <w:pPr>
        <w:pStyle w:val="Heading2"/>
      </w:pPr>
      <w:r/>
      <w:r>
        <w:rPr/>
        <w:t>TS-A — Critical Trade Secrets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Custodian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Protections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Model weights — production</w:t>
            </w:r>
          </w:p>
        </w:tc>
        <w:tc>
          <w:tcPr>
            <w:tcW w:type="dxa" w:w="2160"/>
          </w:tcPr>
          <w:p>
            <w:r/>
            <w:r>
              <w:rPr/>
              <w:t>The trained parameters of the EchoPilot v3.2 production model and its predecessor lineage</w:t>
            </w:r>
          </w:p>
        </w:tc>
        <w:tc>
          <w:tcPr>
            <w:tcW w:type="dxa" w:w="2160"/>
          </w:tcPr>
          <w:p>
            <w:r/>
            <w:r>
              <w:rPr/>
              <w:t>CTO</w:t>
            </w:r>
          </w:p>
        </w:tc>
        <w:tc>
          <w:tcPr>
            <w:tcW w:type="dxa" w:w="2160"/>
          </w:tcPr>
          <w:p>
            <w:r/>
            <w:r>
              <w:rPr/>
              <w:t>Encrypted at rest in segregated AWS KMS scope; deployment via signed binary; no plaintext copies; export blocked at network egress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Training data composition manifest</w:t>
            </w:r>
          </w:p>
        </w:tc>
        <w:tc>
          <w:tcPr>
            <w:tcW w:type="dxa" w:w="2160"/>
          </w:tcPr>
          <w:p>
            <w:r/>
            <w:r>
              <w:rPr/>
              <w:t>The specific composition of training/validation/holdout cohorts, including site-by-site case counts and class balance</w:t>
            </w:r>
          </w:p>
        </w:tc>
        <w:tc>
          <w:tcPr>
            <w:tcW w:type="dxa" w:w="2160"/>
          </w:tcPr>
          <w:p>
            <w:r/>
            <w:r>
              <w:rPr/>
              <w:t>VP Clinical</w:t>
            </w:r>
          </w:p>
        </w:tc>
        <w:tc>
          <w:tcPr>
            <w:tcW w:type="dxa" w:w="2160"/>
          </w:tcPr>
          <w:p>
            <w:r/>
            <w:r>
              <w:rPr/>
              <w:t>PIIA-bound access; no copies outside secured wiki; annual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 labeling protocol</w:t>
            </w:r>
          </w:p>
        </w:tc>
        <w:tc>
          <w:tcPr>
            <w:tcW w:type="dxa" w:w="2160"/>
          </w:tcPr>
          <w:p>
            <w:r/>
            <w:r>
              <w:rPr/>
              <w:t>The detailed adjudication ruleset used by HealthCo's expert labelers (3 cardiologists, 2 cardiac imagers) including edge-case decision trees</w:t>
            </w:r>
          </w:p>
        </w:tc>
        <w:tc>
          <w:tcPr>
            <w:tcW w:type="dxa" w:w="2160"/>
          </w:tcPr>
          <w:p>
            <w:r/>
            <w:r>
              <w:rPr/>
              <w:t>VP Clinical</w:t>
            </w:r>
          </w:p>
        </w:tc>
        <w:tc>
          <w:tcPr>
            <w:tcW w:type="dxa" w:w="2160"/>
          </w:tcPr>
          <w:p>
            <w:r/>
            <w:r>
              <w:rPr/>
              <w:t>PIIA + supplemental NDA for labelers; protocol versioned; copies destroyed at offboarding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Model architecture deltas</w:t>
            </w:r>
          </w:p>
        </w:tc>
        <w:tc>
          <w:tcPr>
            <w:tcW w:type="dxa" w:w="2160"/>
          </w:tcPr>
          <w:p>
            <w:r/>
            <w:r>
              <w:rPr/>
              <w:t>Architectural choices that diverge from published literature (specifically, the temporal-attention configuration in the A4C encoder and the multi-view fusion gating)</w:t>
            </w:r>
          </w:p>
        </w:tc>
        <w:tc>
          <w:tcPr>
            <w:tcW w:type="dxa" w:w="2160"/>
          </w:tcPr>
          <w:p>
            <w:r/>
            <w:r>
              <w:rPr/>
              <w:t>CTO</w:t>
            </w:r>
          </w:p>
        </w:tc>
        <w:tc>
          <w:tcPr>
            <w:tcW w:type="dxa" w:w="2160"/>
          </w:tcPr>
          <w:p>
            <w:r/>
            <w:r>
              <w:rPr/>
              <w:t>Source-segregated repo; access by named-engineer ACL</w:t>
            </w:r>
          </w:p>
        </w:tc>
      </w:tr>
    </w:tbl>
    <w:p>
      <w:pPr>
        <w:pStyle w:val="Heading2"/>
      </w:pPr>
      <w:r/>
      <w:r>
        <w:rPr/>
        <w:t>TS-B — Sensitive</w:t>
      </w:r>
    </w:p>
    <w:p>
      <w:pPr>
        <w:pStyle w:val="ListBullet"/>
      </w:pPr>
      <w:r>
        <w:rPr>
          <w:b/>
        </w:rPr>
        <w:t>Pilot site performance benchmarks</w:t>
      </w:r>
      <w:r>
        <w:rPr/>
        <w:t xml:space="preserve"> — per-site sensitivity/specificity broken down by demographic strata; used internally for site-specific tuning. Disclosed in aggregate only.</w:t>
      </w:r>
    </w:p>
    <w:p>
      <w:pPr>
        <w:pStyle w:val="ListBullet"/>
      </w:pPr>
      <w:r>
        <w:rPr>
          <w:b/>
        </w:rPr>
        <w:t>Vendor-specific calibration tables</w:t>
      </w:r>
      <w:r>
        <w:rPr/>
        <w:t xml:space="preserve"> — adjustments applied per echo-machine vendor and software version to normalize input. Approximately 240 vendor/version combinations characterized.</w:t>
      </w:r>
    </w:p>
    <w:p>
      <w:pPr>
        <w:pStyle w:val="ListBullet"/>
      </w:pPr>
      <w:r>
        <w:rPr>
          <w:b/>
        </w:rPr>
        <w:t>Active-learning queue logic</w:t>
      </w:r>
      <w:r>
        <w:rPr/>
        <w:t xml:space="preserve"> — prioritization rules that select studies for expert relabeling, materially accelerating model improvement velocity.</w:t>
      </w:r>
    </w:p>
    <w:p>
      <w:pPr>
        <w:pStyle w:val="ListBullet"/>
      </w:pPr>
      <w:r>
        <w:rPr>
          <w:b/>
        </w:rPr>
        <w:t>Hospital procurement playbook</w:t>
      </w:r>
      <w:r>
        <w:rPr/>
        <w:t xml:space="preserve"> — the GTM motion's specific objection-handling, pricing tiers by health-system size, and committee navigation patterns developed by Sarah Whittaker's team.</w:t>
      </w:r>
    </w:p>
    <w:p>
      <w:pPr>
        <w:pStyle w:val="Heading2"/>
      </w:pPr>
      <w:r/>
      <w:r>
        <w:rPr/>
        <w:t>TS-C — Internal</w:t>
      </w:r>
    </w:p>
    <w:p>
      <w:pPr>
        <w:pStyle w:val="ListBullet"/>
      </w:pPr>
      <w:r>
        <w:rPr/>
        <w:t>Customer success run-books</w:t>
      </w:r>
    </w:p>
    <w:p>
      <w:pPr>
        <w:pStyle w:val="ListBullet"/>
      </w:pPr>
      <w:r>
        <w:rPr/>
        <w:t>Internal pricing models (raw)</w:t>
      </w:r>
    </w:p>
    <w:p>
      <w:pPr>
        <w:pStyle w:val="ListBullet"/>
      </w:pPr>
      <w:r>
        <w:rPr/>
        <w:t>Recruiting heuristics and source lists</w:t>
      </w:r>
    </w:p>
    <w:p>
      <w:pPr>
        <w:pStyle w:val="Heading1"/>
      </w:pPr>
      <w:r/>
      <w:r>
        <w:rPr/>
        <w:t>Access Controls</w:t>
      </w:r>
    </w:p>
    <w:p>
      <w:pPr>
        <w:pStyle w:val="ListBullet"/>
      </w:pPr>
      <w:r>
        <w:rPr/>
        <w:t xml:space="preserve">All employees and contractors execute a </w:t>
      </w:r>
      <w:r>
        <w:rPr>
          <w:b/>
        </w:rPr>
        <w:t>Proprietary Information and Inventions Assignment Agreement</w:t>
      </w:r>
      <w:r>
        <w:rPr/>
        <w:t xml:space="preserve"> (PIIA) on Day 1.</w:t>
      </w:r>
    </w:p>
    <w:p>
      <w:pPr>
        <w:pStyle w:val="ListBullet"/>
      </w:pPr>
      <w:r>
        <w:rPr/>
        <w:t xml:space="preserve">TS-A access requires a supplemental </w:t>
      </w:r>
      <w:r>
        <w:rPr>
          <w:b/>
        </w:rPr>
        <w:t>Trade Secret Acknowledgment</w:t>
      </w:r>
      <w:r>
        <w:rPr/>
        <w:t xml:space="preserve"> specific to the asset(s) accessed.</w:t>
      </w:r>
    </w:p>
    <w:p>
      <w:pPr>
        <w:pStyle w:val="ListBullet"/>
      </w:pPr>
      <w:r>
        <w:rPr/>
        <w:t>All TS-A access is logged via Okta + AWS CloudTrail with anomaly alerting.</w:t>
      </w:r>
    </w:p>
    <w:p>
      <w:pPr>
        <w:pStyle w:val="ListBullet"/>
      </w:pPr>
      <w:r>
        <w:rPr/>
        <w:t xml:space="preserve">Departing employees undergo a structured </w:t>
      </w:r>
      <w:r>
        <w:rPr>
          <w:b/>
        </w:rPr>
        <w:t>Trade Secret Exit Interview</w:t>
      </w:r>
      <w:r>
        <w:rPr/>
        <w:t xml:space="preserve"> with General Counsel before final-day system deprovisioning.</w:t>
      </w:r>
    </w:p>
    <w:p>
      <w:pPr>
        <w:pStyle w:val="Heading1"/>
      </w:pPr>
      <w:r/>
      <w:r>
        <w:rPr/>
        <w:t>Ingress / Egress</w:t>
      </w:r>
    </w:p>
    <w:p>
      <w:pPr>
        <w:pStyle w:val="ListBullet"/>
      </w:pPr>
      <w:r>
        <w:rPr/>
        <w:t>No personal devices may access TS-A assets; managed laptops (Jamf-enrolled) only.</w:t>
      </w:r>
    </w:p>
    <w:p>
      <w:pPr>
        <w:pStyle w:val="ListBullet"/>
      </w:pPr>
      <w:r>
        <w:rPr/>
        <w:t>Network egress for TS-A scope is allow-listed at the cloud-firewall level.</w:t>
      </w:r>
    </w:p>
    <w:p>
      <w:pPr>
        <w:pStyle w:val="ListBullet"/>
      </w:pPr>
      <w:r>
        <w:rPr/>
        <w:t>Cloud storage of TS-A assets is restricted to a single AWS account with separate billing and IAM perimeter; that account is not connected via VPC peering to non-TS scopes.</w:t>
      </w:r>
    </w:p>
    <w:p>
      <w:pPr>
        <w:pStyle w:val="Heading1"/>
      </w:pPr>
      <w:r/>
      <w:r>
        <w:rPr/>
        <w:t>Status</w:t>
      </w:r>
    </w:p>
    <w:p>
      <w:r>
        <w:rPr/>
        <w:t xml:space="preserve">Last formal trade-secret audit: </w:t>
      </w:r>
      <w:r>
        <w:rPr>
          <w:b/>
        </w:rPr>
        <w:t>December 2025</w:t>
      </w:r>
      <w:r>
        <w:rPr/>
        <w:t>, conducted by Wilmer Hale. No material findings. Next audit scheduled December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