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/>
      <w:r>
        <w:rPr/>
        <w:t>510(k) Clearance Summary — K243178</w:t>
      </w:r>
    </w:p>
    <w:p>
      <w:pPr>
        <w:pStyle w:val="IntenseQuote"/>
      </w:pPr>
      <w:r>
        <w:rPr>
          <w:i/>
        </w:rPr>
        <w:t>Sample document. K-number is illustrative.</w:t>
      </w:r>
    </w:p>
    <w:p>
      <w:pPr>
        <w:pStyle w:val="Heading1"/>
      </w:pPr>
      <w:r/>
      <w:r>
        <w:rPr/>
        <w:t>Clearance</w:t>
      </w:r>
    </w:p>
    <w:p>
      <w:pPr>
        <w:pStyle w:val="ListBullet"/>
      </w:pPr>
      <w:r>
        <w:rPr>
          <w:b/>
        </w:rPr>
        <w:t>Submission number:</w:t>
      </w:r>
      <w:r>
        <w:rPr/>
        <w:t xml:space="preserve"> K243178</w:t>
      </w:r>
    </w:p>
    <w:p>
      <w:pPr>
        <w:pStyle w:val="ListBullet"/>
      </w:pPr>
      <w:r>
        <w:rPr>
          <w:b/>
        </w:rPr>
        <w:t>Decision date:</w:t>
      </w:r>
      <w:r>
        <w:rPr/>
        <w:t xml:space="preserve"> August 2024</w:t>
      </w:r>
    </w:p>
    <w:p>
      <w:pPr>
        <w:pStyle w:val="ListBullet"/>
      </w:pPr>
      <w:r>
        <w:rPr>
          <w:b/>
        </w:rPr>
        <w:t>Decision:</w:t>
      </w:r>
      <w:r>
        <w:rPr/>
        <w:t xml:space="preserve"> Substantially Equivalent (SE) — cleared</w:t>
      </w:r>
    </w:p>
    <w:p>
      <w:pPr>
        <w:pStyle w:val="ListBullet"/>
      </w:pPr>
      <w:r>
        <w:rPr>
          <w:b/>
        </w:rPr>
        <w:t>Submission type:</w:t>
      </w:r>
      <w:r>
        <w:rPr/>
        <w:t xml:space="preserve"> Traditional 510(k)</w:t>
      </w:r>
    </w:p>
    <w:p>
      <w:pPr>
        <w:pStyle w:val="ListBullet"/>
      </w:pPr>
      <w:r>
        <w:rPr>
          <w:b/>
        </w:rPr>
        <w:t>Regulation number:</w:t>
      </w:r>
      <w:r>
        <w:rPr/>
        <w:t xml:space="preserve"> 21 CFR 892.2050 (Picture archiving and communications system)</w:t>
      </w:r>
    </w:p>
    <w:p>
      <w:pPr>
        <w:pStyle w:val="ListBullet"/>
      </w:pPr>
      <w:r>
        <w:rPr>
          <w:b/>
        </w:rPr>
        <w:t>Product code:</w:t>
      </w:r>
      <w:r>
        <w:rPr/>
        <w:t xml:space="preserve"> </w:t>
      </w:r>
      <w:r>
        <w:rPr>
          <w:b/>
        </w:rPr>
        <w:t>QIH</w:t>
      </w:r>
      <w:r>
        <w:rPr/>
        <w:t xml:space="preserve"> — Radiological computer-assisted diagnostic software for lesions suspicious for cancer (used by analogy for AI-CADe/CADx imaging software; FDA accepted)</w:t>
      </w:r>
    </w:p>
    <w:p>
      <w:pPr>
        <w:pStyle w:val="ListBullet"/>
      </w:pPr>
      <w:r>
        <w:rPr>
          <w:b/>
        </w:rPr>
        <w:t>Class:</w:t>
      </w:r>
      <w:r>
        <w:rPr/>
        <w:t xml:space="preserve"> II</w:t>
      </w:r>
    </w:p>
    <w:p>
      <w:pPr>
        <w:pStyle w:val="ListBullet"/>
      </w:pPr>
      <w:r>
        <w:rPr>
          <w:b/>
        </w:rPr>
        <w:t>Submitter:</w:t>
      </w:r>
      <w:r>
        <w:rPr/>
        <w:t xml:space="preserve"> HealthCo, Inc.</w:t>
      </w:r>
    </w:p>
    <w:p>
      <w:pPr>
        <w:pStyle w:val="Heading1"/>
      </w:pPr>
      <w:r/>
      <w:r>
        <w:rPr/>
        <w:t>Device</w:t>
      </w:r>
    </w:p>
    <w:p>
      <w:r>
        <w:rPr>
          <w:b/>
        </w:rPr>
        <w:t>EchoPilot</w:t>
      </w:r>
      <w:r>
        <w:rPr/>
        <w:t xml:space="preserve"> is a software-only medical device (SaMD) that analyzes transthoracic echocardiogram studies and produces a probability score that a study contains imaging features consistent with cardiac amyloidosis. EchoPilot is intended for use as an adjunctive tool by qualified cardiologists; it does not replace independent clinical judgment.</w:t>
      </w:r>
    </w:p>
    <w:p>
      <w:pPr>
        <w:pStyle w:val="Heading1"/>
      </w:pPr>
      <w:r/>
      <w:r>
        <w:rPr/>
        <w:t>Predicate</w:t>
      </w:r>
    </w:p>
    <w:p>
      <w:r>
        <w:rPr>
          <w:b/>
        </w:rPr>
        <w:t>Ultromics EchoGo Pro</w:t>
      </w:r>
      <w:r>
        <w:rPr/>
        <w:t xml:space="preserve"> (K233412, cleared 2023) was selected as the primary predicate. EchoGo Pro is also a Class II SaMD analyzing echocardiograms for structural heart disease features. The substantial-equivalence rationale rested on:</w:t>
      </w:r>
    </w:p>
    <w:p>
      <w:pPr>
        <w:pStyle w:val="ListBullet"/>
      </w:pPr>
      <w:r>
        <w:rPr/>
        <w:t>Same intended use category (adjunctive AI analysis of echo studies)</w:t>
      </w:r>
    </w:p>
    <w:p>
      <w:pPr>
        <w:pStyle w:val="ListBullet"/>
      </w:pPr>
      <w:r>
        <w:rPr/>
        <w:t>Same target user population (cardiologists)</w:t>
      </w:r>
    </w:p>
    <w:p>
      <w:pPr>
        <w:pStyle w:val="ListBullet"/>
      </w:pPr>
      <w:r>
        <w:rPr/>
        <w:t>Same fundamental technological characteristics (deep-learning analysis of DICOM echo)</w:t>
      </w:r>
    </w:p>
    <w:p>
      <w:pPr>
        <w:pStyle w:val="ListBullet"/>
      </w:pPr>
      <w:r>
        <w:rPr/>
        <w:t>Comparable performance characteristics demonstrated through bench testing</w:t>
      </w:r>
    </w:p>
    <w:p>
      <w:r>
        <w:rPr/>
        <w:t xml:space="preserve">A reference device — </w:t>
      </w:r>
      <w:r>
        <w:rPr>
          <w:b/>
        </w:rPr>
        <w:t>Us2.ai Us2.v1</w:t>
      </w:r>
      <w:r>
        <w:rPr/>
        <w:t xml:space="preserve"> (K221XXX) — was cited for additional support on the validation methodology.</w:t>
      </w:r>
    </w:p>
    <w:p>
      <w:pPr>
        <w:pStyle w:val="Heading1"/>
      </w:pPr>
      <w:r/>
      <w:r>
        <w:rPr/>
        <w:t>Indications for Use</w:t>
      </w:r>
    </w:p>
    <w:p>
      <w:pPr>
        <w:pStyle w:val="IntenseQuote"/>
      </w:pPr>
      <w:r>
        <w:rPr>
          <w:i/>
        </w:rPr>
        <w:t>EchoPilot is a software-only medical device intended to assist trained cardiologists in the detection of imaging features consistent with cardiac amyloidosis from transthoracic echocardiogram studies acquired on commercially available ultrasound systems. EchoPilot outputs a probability score and feature-attribution overlay. EchoPilot is adjunctive to, and not a replacement for, the clinical judgment of qualified physicians. EchoPilot is intended for use in adult patients (18+).</w:t>
      </w:r>
    </w:p>
    <w:p>
      <w:r>
        <w:rPr/>
        <w:t>Off-label exclusions explicitly stated: not for pediatric use, not for stress-echo or transesophageal studies, not for primary diagnosis (adjunctive only).</w:t>
      </w:r>
    </w:p>
    <w:p>
      <w:pPr>
        <w:pStyle w:val="Heading1"/>
      </w:pPr>
      <w:r/>
      <w:r>
        <w:rPr/>
        <w:t>Performance Testing Submitted</w:t>
      </w:r>
    </w:p>
    <w:p>
      <w:r>
        <w:rPr/>
        <w:t>The 510(k) included:</w:t>
      </w:r>
    </w:p>
    <w:p>
      <w:pPr>
        <w:pStyle w:val="ListBullet"/>
      </w:pPr>
      <w:r>
        <w:rPr>
          <w:b/>
        </w:rPr>
        <w:t>Standalone analytical validation</w:t>
      </w:r>
      <w:r>
        <w:rPr/>
        <w:t xml:space="preserve"> — bench testing on a sequestered test set of 1,840 echo studies, demonstrating sensitivity 91.4% and specificity 87.9% against an expert-adjudicated reference standard</w:t>
      </w:r>
    </w:p>
    <w:p>
      <w:pPr>
        <w:pStyle w:val="ListBullet"/>
      </w:pPr>
      <w:r>
        <w:rPr>
          <w:b/>
        </w:rPr>
        <w:t>Software verification &amp; validation</w:t>
      </w:r>
      <w:r>
        <w:rPr/>
        <w:t xml:space="preserve"> — IEC 62304 Class B documentation</w:t>
      </w:r>
    </w:p>
    <w:p>
      <w:pPr>
        <w:pStyle w:val="ListBullet"/>
      </w:pPr>
      <w:r>
        <w:rPr>
          <w:b/>
        </w:rPr>
        <w:t>Cybersecurity</w:t>
      </w:r>
      <w:r>
        <w:rPr/>
        <w:t xml:space="preserve"> — premarket cybersecurity package per FDA 2023 guidance</w:t>
      </w:r>
    </w:p>
    <w:p>
      <w:pPr>
        <w:pStyle w:val="ListBullet"/>
      </w:pPr>
      <w:r>
        <w:rPr>
          <w:b/>
        </w:rPr>
        <w:t>Usability / human factors</w:t>
      </w:r>
      <w:r>
        <w:rPr/>
        <w:t xml:space="preserve"> — IEC 62366 summative validation with 15 cardiologist participants</w:t>
      </w:r>
    </w:p>
    <w:p>
      <w:pPr>
        <w:pStyle w:val="ListBullet"/>
      </w:pPr>
      <w:r>
        <w:rPr>
          <w:b/>
        </w:rPr>
        <w:t>Bench comparison to predicate</w:t>
      </w:r>
      <w:r>
        <w:rPr/>
        <w:t xml:space="preserve"> — head-to-head on a common test set</w:t>
      </w:r>
    </w:p>
    <w:p>
      <w:pPr>
        <w:pStyle w:val="Heading1"/>
      </w:pPr>
      <w:r/>
      <w:r>
        <w:rPr/>
        <w:t>FDA Interactions</w:t>
      </w:r>
    </w:p>
    <w:p>
      <w:r>
        <w:rPr/>
        <w:t>The submission cycle included one Additional Information request (October 2023) addressing demographic subgroup analysis and labeling clarifications. HealthCo's response was accepted without further AI requests.</w:t>
      </w:r>
    </w:p>
    <w:p>
      <w:pPr>
        <w:pStyle w:val="Heading1"/>
      </w:pPr>
      <w:r/>
      <w:r>
        <w:rPr/>
        <w:t>Post-Market Commitments</w:t>
      </w:r>
    </w:p>
    <w:p>
      <w:r>
        <w:rPr/>
        <w:t>None. No post-market study (522 order) was required. HealthCo voluntarily maintains a post-market surveillance dashboard tracking field performance across pilot sites; this is internal and not an FDA commitment.</w:t>
      </w:r>
    </w:p>
    <w:p>
      <w:pPr>
        <w:pStyle w:val="Heading1"/>
      </w:pPr>
      <w:r/>
      <w:r>
        <w:rPr/>
        <w:t>Labeling</w:t>
      </w:r>
    </w:p>
    <w:p>
      <w:r>
        <w:rPr/>
        <w:t>The cleared labeling is reproduced in full at Tier 3 (</w:t>
      </w:r>
      <w:r>
        <w:rPr>
          <w:rFonts w:ascii="Consolas" w:hAnsi="Consolas"/>
          <w:sz w:val="20"/>
        </w:rPr>
        <w:t>labeling-IFU-final.pdf</w:t>
      </w:r>
      <w:r>
        <w:rPr/>
        <w:t>). Headline excerpts are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