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03 — Regulatory</w:t>
      </w:r>
    </w:p>
    <w:p>
      <w:pPr>
        <w:pStyle w:val="IntenseQuote"/>
      </w:pPr>
      <w:r>
        <w:rPr>
          <w:i/>
        </w:rPr>
        <w:t>Sample folder. Documents FDA clearances, ongoing submissions, and regulatory roadmap.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510k-summary.md</w:t>
      </w:r>
      <w:r>
        <w:rPr/>
        <w:t xml:space="preserve"> — K243178 clearance summary, predicate, indications for use</w:t>
      </w:r>
    </w:p>
    <w:p>
      <w:pPr>
        <w:pStyle w:val="ListBullet"/>
      </w:pPr>
      <w:r>
        <w:rPr>
          <w:rFonts w:ascii="Consolas" w:hAnsi="Consolas"/>
          <w:sz w:val="20"/>
        </w:rPr>
        <w:t>pre-submission-meetings.md</w:t>
      </w:r>
      <w:r>
        <w:rPr/>
        <w:t xml:space="preserve"> — Q-Sub history, Type C meeting outcomes, FDA correspondence</w:t>
      </w:r>
    </w:p>
    <w:p>
      <w:pPr>
        <w:pStyle w:val="ListBullet"/>
      </w:pPr>
      <w:r>
        <w:rPr>
          <w:rFonts w:ascii="Consolas" w:hAnsi="Consolas"/>
          <w:sz w:val="20"/>
        </w:rPr>
        <w:t>regulatory-pathway-roadmap.md</w:t>
      </w:r>
      <w:r>
        <w:rPr/>
        <w:t xml:space="preserve"> — De Novo timeline, indication expansion, QMS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510k-summary.md (headline) | x | x | x | | 510k-summary.md (full) |   | x | x | | pre-submission-meetings.md |   |   | x | | regulatory-pathway-roadmap.md |   | x | x | | Full FDA correspondence (PDFs) |   |   | x |</w:t>
      </w:r>
    </w:p>
    <w:p>
      <w:r>
        <w:rPr/>
        <w:t>Full FDA correspondence (Q-Sub minutes, official letters, RTA letters, additional-information requests) is hosted at Tier 3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