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Pre-Submission Meetings and FDA Correspondence</w:t>
      </w:r>
    </w:p>
    <w:p>
      <w:pPr>
        <w:pStyle w:val="IntenseQuote"/>
      </w:pPr>
      <w:r>
        <w:rPr>
          <w:i/>
        </w:rPr>
        <w:t>Sample document. Dates and meeting numbers are illustrative.</w:t>
      </w:r>
    </w:p>
    <w:p>
      <w:r>
        <w:rPr/>
        <w:t>This document summarizes HealthCo's pre-submission (Q-Sub) and post-clearance interactions with the FDA's Division of Radiological Health (CDRH/OHT7).</w:t>
      </w:r>
    </w:p>
    <w:p>
      <w:pPr>
        <w:pStyle w:val="Heading1"/>
      </w:pPr>
      <w:r/>
      <w:r>
        <w:rPr/>
        <w:t>Q-Sub History</w:t>
      </w:r>
    </w:p>
    <w:p>
      <w:pPr>
        <w:pStyle w:val="Heading2"/>
      </w:pPr>
      <w:r/>
      <w:r>
        <w:rPr/>
        <w:t>Q230412 — Initial 510(k) Pathway Q-Sub (April 2023)</w:t>
      </w:r>
    </w:p>
    <w:p>
      <w:pPr>
        <w:pStyle w:val="ListBullet"/>
      </w:pPr>
      <w:r>
        <w:rPr>
          <w:b/>
        </w:rPr>
        <w:t>Type:</w:t>
      </w:r>
      <w:r>
        <w:rPr/>
        <w:t xml:space="preserve"> Pre-Submission</w:t>
      </w:r>
    </w:p>
    <w:p>
      <w:pPr>
        <w:pStyle w:val="ListBullet"/>
      </w:pPr>
      <w:r>
        <w:rPr>
          <w:b/>
        </w:rPr>
        <w:t>Topic:</w:t>
      </w:r>
      <w:r>
        <w:rPr/>
        <w:t xml:space="preserve"> Confirmation of 510(k) pathway and predicate selection for EchoPilot</w:t>
      </w:r>
    </w:p>
    <w:p>
      <w:pPr>
        <w:pStyle w:val="ListBullet"/>
      </w:pPr>
      <w:r>
        <w:rPr>
          <w:b/>
        </w:rPr>
        <w:t>Format:</w:t>
      </w:r>
      <w:r>
        <w:rPr/>
        <w:t xml:space="preserve"> Written feedback + 30-minute teleconference (June 2023)</w:t>
      </w:r>
    </w:p>
    <w:p>
      <w:pPr>
        <w:pStyle w:val="ListBullet"/>
      </w:pPr>
      <w:r>
        <w:rPr>
          <w:b/>
        </w:rPr>
        <w:t>Outcome:</w:t>
      </w:r>
      <w:r>
        <w:rPr/>
        <w:t xml:space="preserve"> FDA confirmed 510(k) pathway with EchoGo Pro as appropriate predicate. FDA recommended (a) demographic subgroup analysis in the validation, (b) explicit cybersecurity package, and (c) usability validation with at least 15 representative users.</w:t>
      </w:r>
    </w:p>
    <w:p>
      <w:pPr>
        <w:pStyle w:val="ListBullet"/>
      </w:pPr>
      <w:r>
        <w:rPr>
          <w:b/>
        </w:rPr>
        <w:t>Action taken:</w:t>
      </w:r>
      <w:r>
        <w:rPr/>
        <w:t xml:space="preserve"> All recommendations incorporated into the eventual K243178 submission.</w:t>
      </w:r>
    </w:p>
    <w:p>
      <w:pPr>
        <w:pStyle w:val="Heading2"/>
      </w:pPr>
      <w:r/>
      <w:r>
        <w:rPr/>
        <w:t>Q240118 — De Novo Pathway Q-Sub for Auto-Strain (January 2024)</w:t>
      </w:r>
    </w:p>
    <w:p>
      <w:pPr>
        <w:pStyle w:val="ListBullet"/>
      </w:pPr>
      <w:r>
        <w:rPr>
          <w:b/>
        </w:rPr>
        <w:t>Type:</w:t>
      </w:r>
      <w:r>
        <w:rPr/>
        <w:t xml:space="preserve"> Pre-Submission</w:t>
      </w:r>
    </w:p>
    <w:p>
      <w:pPr>
        <w:pStyle w:val="ListBullet"/>
      </w:pPr>
      <w:r>
        <w:rPr>
          <w:b/>
        </w:rPr>
        <w:t>Topic:</w:t>
      </w:r>
      <w:r>
        <w:rPr/>
        <w:t xml:space="preserve"> Pathway confirmation for the auto-strain measurement feature</w:t>
      </w:r>
    </w:p>
    <w:p>
      <w:pPr>
        <w:pStyle w:val="ListBullet"/>
      </w:pPr>
      <w:r>
        <w:rPr>
          <w:b/>
        </w:rPr>
        <w:t>Format:</w:t>
      </w:r>
      <w:r>
        <w:rPr/>
        <w:t xml:space="preserve"> Written feedback + 60-minute teleconference (March 2024)</w:t>
      </w:r>
    </w:p>
    <w:p>
      <w:pPr>
        <w:pStyle w:val="ListBullet"/>
      </w:pPr>
      <w:r>
        <w:rPr>
          <w:b/>
        </w:rPr>
        <w:t>Outcome:</w:t>
      </w:r>
      <w:r>
        <w:rPr/>
        <w:t xml:space="preserve"> FDA confirmed De Novo as appropriate (no suitable predicate exists for fully automatic strain). FDA recommended a clinical validation arm in addition to bench testing, given the novelty. Recommended performance benchmarks: bias and 95% LoA versus expert manual strain measurement, with prespecified acceptance criteria.</w:t>
      </w:r>
    </w:p>
    <w:p>
      <w:pPr>
        <w:pStyle w:val="ListBullet"/>
      </w:pPr>
      <w:r>
        <w:rPr>
          <w:b/>
        </w:rPr>
        <w:t>Action taken:</w:t>
      </w:r>
      <w:r>
        <w:rPr/>
        <w:t xml:space="preserve"> Multi-site clinical validation initiated Q3 2024; primary endpoint analysis complete Q4 2025; De Novo submission Q1 2026.</w:t>
      </w:r>
    </w:p>
    <w:p>
      <w:pPr>
        <w:pStyle w:val="Heading2"/>
      </w:pPr>
      <w:r/>
      <w:r>
        <w:rPr/>
        <w:t>Q251014 — Type C Meeting on Cardio-Oncology Indication (October 2025)</w:t>
      </w:r>
    </w:p>
    <w:p>
      <w:pPr>
        <w:pStyle w:val="ListBullet"/>
      </w:pPr>
      <w:r>
        <w:rPr>
          <w:b/>
        </w:rPr>
        <w:t>Type:</w:t>
      </w:r>
      <w:r>
        <w:rPr/>
        <w:t xml:space="preserve"> Type C / pre-submission for indication expansion planning</w:t>
      </w:r>
    </w:p>
    <w:p>
      <w:pPr>
        <w:pStyle w:val="ListBullet"/>
      </w:pPr>
      <w:r>
        <w:rPr>
          <w:b/>
        </w:rPr>
        <w:t>Topic:</w:t>
      </w:r>
      <w:r>
        <w:rPr/>
        <w:t xml:space="preserve"> Pathway and study-design feedback for a planned 2027 indication expansion to cardio-oncology (chemotherapy-induced cardiotoxicity surveillance)</w:t>
      </w:r>
    </w:p>
    <w:p>
      <w:pPr>
        <w:pStyle w:val="ListBullet"/>
      </w:pPr>
      <w:r>
        <w:rPr>
          <w:b/>
        </w:rPr>
        <w:t>Format:</w:t>
      </w:r>
      <w:r>
        <w:rPr/>
        <w:t xml:space="preserve"> Written feedback + meeting (December 2025)</w:t>
      </w:r>
    </w:p>
    <w:p>
      <w:pPr>
        <w:pStyle w:val="ListBullet"/>
      </w:pPr>
      <w:r>
        <w:rPr>
          <w:b/>
        </w:rPr>
        <w:t>Outcome:</w:t>
      </w:r>
      <w:r>
        <w:rPr/>
        <w:t xml:space="preserve"> FDA receptive; suggested a separate 510(k) supplement or new 510(k) rather than De Novo, given expected predicates emerging in 2026. Recommended a hybrid retrospective-prospective validation design and specific subgroup considerations.</w:t>
      </w:r>
    </w:p>
    <w:p>
      <w:pPr>
        <w:pStyle w:val="ListBullet"/>
      </w:pPr>
      <w:r>
        <w:rPr>
          <w:b/>
        </w:rPr>
        <w:t>Action taken:</w:t>
      </w:r>
      <w:r>
        <w:rPr/>
        <w:t xml:space="preserve"> Study design refined; protocol drafted; planned IRB submissions Q3 2026.</w:t>
      </w:r>
    </w:p>
    <w:p>
      <w:pPr>
        <w:pStyle w:val="Heading1"/>
      </w:pPr>
      <w:r/>
      <w:r>
        <w:rPr/>
        <w:t>Material Correspondence Log (post-clearance)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
              <w:rPr>
                <w:b/>
              </w:rPr>
              <w:t>Date</w:t>
            </w:r>
          </w:p>
        </w:tc>
        <w:tc>
          <w:tcPr>
            <w:tcW w:type="dxa" w:w="2160"/>
            <w:shd w:val="clear" w:color="auto" w:fill="D9E2F3"/>
          </w:tcPr>
          <w:p>
            <w:r/>
            <w:r>
              <w:rPr>
                <w:b/>
              </w:rPr>
              <w:t>Type</w:t>
            </w:r>
          </w:p>
        </w:tc>
        <w:tc>
          <w:tcPr>
            <w:tcW w:type="dxa" w:w="2160"/>
            <w:shd w:val="clear" w:color="auto" w:fill="D9E2F3"/>
          </w:tcPr>
          <w:p>
            <w:r/>
            <w:r>
              <w:rPr>
                <w:b/>
              </w:rPr>
              <w:t>Topic</w:t>
            </w:r>
          </w:p>
        </w:tc>
        <w:tc>
          <w:tcPr>
            <w:tcW w:type="dxa" w:w="2160"/>
            <w:shd w:val="clear" w:color="auto" w:fill="D9E2F3"/>
          </w:tcPr>
          <w:p>
            <w:r/>
            <w:r>
              <w:rPr>
                <w:b/>
              </w:rPr>
              <w:t>Status</w:t>
            </w:r>
          </w:p>
        </w:tc>
      </w:tr>
      <w:tr>
        <w:tc>
          <w:tcPr>
            <w:tcW w:type="dxa" w:w="2160"/>
          </w:tcPr>
          <w:p>
            <w:r/>
            <w:r>
              <w:rPr/>
              <w:t>2024-09</w:t>
            </w:r>
          </w:p>
        </w:tc>
        <w:tc>
          <w:tcPr>
            <w:tcW w:type="dxa" w:w="2160"/>
          </w:tcPr>
          <w:p>
            <w:r/>
            <w:r>
              <w:rPr/>
              <w:t>Information request</w:t>
            </w:r>
          </w:p>
        </w:tc>
        <w:tc>
          <w:tcPr>
            <w:tcW w:type="dxa" w:w="2160"/>
          </w:tcPr>
          <w:p>
            <w:r/>
            <w:r>
              <w:rPr/>
              <w:t>Voluntary MDR follow-up on a single field event (no harm)</w:t>
            </w:r>
          </w:p>
        </w:tc>
        <w:tc>
          <w:tcPr>
            <w:tcW w:type="dxa" w:w="2160"/>
          </w:tcPr>
          <w:p>
            <w:r/>
            <w:r>
              <w:rPr/>
              <w:t>Closed; no action required</w:t>
            </w:r>
          </w:p>
        </w:tc>
      </w:tr>
      <w:tr>
        <w:tc>
          <w:tcPr>
            <w:tcW w:type="dxa" w:w="2160"/>
          </w:tcPr>
          <w:p>
            <w:r/>
            <w:r>
              <w:rPr/>
              <w:t>2025-02</w:t>
            </w:r>
          </w:p>
        </w:tc>
        <w:tc>
          <w:tcPr>
            <w:tcW w:type="dxa" w:w="2160"/>
          </w:tcPr>
          <w:p>
            <w:r/>
            <w:r>
              <w:rPr/>
              <w:t>Voluntary</w:t>
            </w:r>
          </w:p>
        </w:tc>
        <w:tc>
          <w:tcPr>
            <w:tcW w:type="dxa" w:w="2160"/>
          </w:tcPr>
          <w:p>
            <w:r/>
            <w:r>
              <w:rPr/>
              <w:t>Annual report describing model updates within scope of locked-algorithm clearance</w:t>
            </w:r>
          </w:p>
        </w:tc>
        <w:tc>
          <w:tcPr>
            <w:tcW w:type="dxa" w:w="2160"/>
          </w:tcPr>
          <w:p>
            <w:r/>
            <w:r>
              <w:rPr/>
              <w:t>Acknowledged</w:t>
            </w:r>
          </w:p>
        </w:tc>
      </w:tr>
      <w:tr>
        <w:tc>
          <w:tcPr>
            <w:tcW w:type="dxa" w:w="2160"/>
          </w:tcPr>
          <w:p>
            <w:r/>
            <w:r>
              <w:rPr/>
              <w:t>2025-07</w:t>
            </w:r>
          </w:p>
        </w:tc>
        <w:tc>
          <w:tcPr>
            <w:tcW w:type="dxa" w:w="2160"/>
          </w:tcPr>
          <w:p>
            <w:r/>
            <w:r>
              <w:rPr/>
              <w:t>Predetermined Change Control Plan inquiry</w:t>
            </w:r>
          </w:p>
        </w:tc>
        <w:tc>
          <w:tcPr>
            <w:tcW w:type="dxa" w:w="2160"/>
          </w:tcPr>
          <w:p>
            <w:r/>
            <w:r>
              <w:rPr/>
              <w:t>HealthCo asked about adding a PCCP to the De Novo</w:t>
            </w:r>
          </w:p>
        </w:tc>
        <w:tc>
          <w:tcPr>
            <w:tcW w:type="dxa" w:w="2160"/>
          </w:tcPr>
          <w:p>
            <w:r/>
            <w:r>
              <w:rPr/>
              <w:t>FDA encouraged inclusion</w:t>
            </w:r>
          </w:p>
        </w:tc>
      </w:tr>
      <w:tr>
        <w:tc>
          <w:tcPr>
            <w:tcW w:type="dxa" w:w="2160"/>
          </w:tcPr>
          <w:p>
            <w:r/>
            <w:r>
              <w:rPr/>
              <w:t>2026-01</w:t>
            </w:r>
          </w:p>
        </w:tc>
        <w:tc>
          <w:tcPr>
            <w:tcW w:type="dxa" w:w="2160"/>
          </w:tcPr>
          <w:p>
            <w:r/>
            <w:r>
              <w:rPr/>
              <w:t>Acceptance</w:t>
            </w:r>
          </w:p>
        </w:tc>
        <w:tc>
          <w:tcPr>
            <w:tcW w:type="dxa" w:w="2160"/>
          </w:tcPr>
          <w:p>
            <w:r/>
            <w:r>
              <w:rPr/>
              <w:t>De Novo submission accepted for substantive review</w:t>
            </w:r>
          </w:p>
        </w:tc>
        <w:tc>
          <w:tcPr>
            <w:tcW w:type="dxa" w:w="2160"/>
          </w:tcPr>
          <w:p>
            <w:r/>
            <w:r>
              <w:rPr/>
              <w:t>In review</w:t>
            </w:r>
          </w:p>
        </w:tc>
      </w:tr>
    </w:tbl>
    <w:p>
      <w:pPr>
        <w:pStyle w:val="Heading1"/>
      </w:pPr>
      <w:r/>
      <w:r>
        <w:rPr/>
        <w:t>Algorithm Change Discipline</w:t>
      </w:r>
    </w:p>
    <w:p>
      <w:r>
        <w:rPr/>
        <w:t xml:space="preserve">Under the current K243178 clearance, EchoPilot operates as a </w:t>
      </w:r>
      <w:r>
        <w:rPr>
          <w:b/>
        </w:rPr>
        <w:t>locked algorithm</w:t>
      </w:r>
      <w:r>
        <w:rPr/>
        <w:t>. Any change that alters analytical or clinical performance triggers either a letter-to-file (if within bounds) or a 510(k) supplement (if outside). HealthCo has filed two letters-to-file (UI-only changes; cybersecurity patches) and zero supplements to date.</w:t>
      </w:r>
    </w:p>
    <w:p>
      <w:r>
        <w:rPr/>
        <w:t xml:space="preserve">The De Novo submission for auto-strain includes a </w:t>
      </w:r>
      <w:r>
        <w:rPr>
          <w:b/>
        </w:rPr>
        <w:t>Predetermined Change Control Plan (PCCP)</w:t>
      </w:r>
      <w:r>
        <w:rPr/>
        <w:t xml:space="preserve"> to enable post-market model updates within prespecified bounds — bringing HealthCo within the FDA's evolving framework for adaptive AI/ML SaMD.</w:t>
      </w:r>
    </w:p>
    <w:p>
      <w:pPr>
        <w:pStyle w:val="Heading1"/>
      </w:pPr>
      <w:r/>
      <w:r>
        <w:rPr/>
        <w:t>Counsel</w:t>
      </w:r>
    </w:p>
    <w:p>
      <w:pPr>
        <w:pStyle w:val="ListBullet"/>
      </w:pPr>
      <w:r>
        <w:rPr>
          <w:b/>
        </w:rPr>
        <w:t>Regulatory:</w:t>
      </w:r>
      <w:r>
        <w:rPr/>
        <w:t xml:space="preserve"> Hogan Lovells US LLP — FDA Practice (Washington DC)</w:t>
      </w:r>
    </w:p>
    <w:p>
      <w:pPr>
        <w:pStyle w:val="ListBullet"/>
      </w:pPr>
      <w:r>
        <w:rPr>
          <w:b/>
        </w:rPr>
        <w:t>Internal:</w:t>
      </w:r>
      <w:r>
        <w:rPr/>
        <w:t xml:space="preserve"> VP Regulatory &amp; Quality reports to the COO; serves as 510(k) point of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