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Regulatory Pathway Roadmap</w:t>
      </w:r>
    </w:p>
    <w:p>
      <w:pPr>
        <w:pStyle w:val="IntenseQuote"/>
      </w:pPr>
      <w:r>
        <w:rPr>
          <w:i/>
        </w:rPr>
        <w:t>Sample document. Forward-looking; subject to FDA timing.</w:t>
      </w:r>
    </w:p>
    <w:p>
      <w:r>
        <w:rPr/>
        <w:t xml:space="preserve">This roadmap lays out HealthCo's regulatory plan through 2028, anchored to the commercial roadmap in </w:t>
      </w:r>
      <w:r>
        <w:rPr>
          <w:rFonts w:ascii="Consolas" w:hAnsi="Consolas"/>
          <w:sz w:val="20"/>
        </w:rPr>
        <w:t>06-Market-Competitive/</w:t>
      </w:r>
      <w:r>
        <w:rPr/>
        <w:t>.</w:t>
      </w:r>
    </w:p>
    <w:p>
      <w:pPr>
        <w:pStyle w:val="Heading1"/>
      </w:pPr>
      <w:r/>
      <w:r>
        <w:rPr/>
        <w:t>Current State (March 2026)</w:t>
      </w:r>
    </w:p>
    <w:p>
      <w:pPr>
        <w:pStyle w:val="ListBullet"/>
      </w:pPr>
      <w:r>
        <w:rPr>
          <w:b/>
        </w:rPr>
        <w:t>EchoPilot core (amyloidosis detection)</w:t>
      </w:r>
      <w:r>
        <w:rPr/>
        <w:t xml:space="preserve"> — 510(k) cleared K243178 (August 2024). Locked algorithm, no PCCP. Fully commercial.</w:t>
      </w:r>
    </w:p>
    <w:p>
      <w:pPr>
        <w:pStyle w:val="ListBullet"/>
      </w:pPr>
      <w:r>
        <w:rPr>
          <w:b/>
        </w:rPr>
        <w:t>Auto-strain feature</w:t>
      </w:r>
      <w:r>
        <w:rPr/>
        <w:t xml:space="preserve"> — De Novo accepted Q1 2026; substantive review underway. Expected clearance: </w:t>
      </w:r>
      <w:r>
        <w:rPr>
          <w:b/>
        </w:rPr>
        <w:t>late FY26 (Q4)</w:t>
      </w:r>
      <w:r>
        <w:rPr/>
        <w:t>, plausible push to early FY27.</w:t>
      </w:r>
    </w:p>
    <w:p>
      <w:pPr>
        <w:pStyle w:val="ListBullet"/>
      </w:pPr>
      <w:r>
        <w:rPr>
          <w:b/>
        </w:rPr>
        <w:t>QMS</w:t>
      </w:r>
      <w:r>
        <w:rPr/>
        <w:t xml:space="preserve"> — Certified to </w:t>
      </w:r>
      <w:r>
        <w:rPr>
          <w:b/>
        </w:rPr>
        <w:t>ISO 13485:2016</w:t>
      </w:r>
      <w:r>
        <w:rPr/>
        <w:t xml:space="preserve"> (April 2024, Lloyd's Register); first surveillance audit passed November 2025 with no nonconformances.</w:t>
      </w:r>
    </w:p>
    <w:p>
      <w:pPr>
        <w:pStyle w:val="ListBullet"/>
      </w:pPr>
      <w:r>
        <w:rPr>
          <w:b/>
        </w:rPr>
        <w:t>MDR / EU-MDR</w:t>
      </w:r>
      <w:r>
        <w:rPr/>
        <w:t xml:space="preserve"> — CE mark: not pursued (deferred; see below).</w:t>
      </w:r>
    </w:p>
    <w:p>
      <w:pPr>
        <w:pStyle w:val="Heading1"/>
      </w:pPr>
      <w:r/>
      <w:r>
        <w:rPr/>
        <w:t>FY26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Initiative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Pathway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Target Decision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Auto-strain De Novo</w:t>
            </w:r>
          </w:p>
        </w:tc>
        <w:tc>
          <w:tcPr>
            <w:tcW w:type="dxa" w:w="2880"/>
          </w:tcPr>
          <w:p>
            <w:r/>
            <w:r>
              <w:rPr/>
              <w:t>De Novo with PCCP</w:t>
            </w:r>
          </w:p>
        </w:tc>
        <w:tc>
          <w:tcPr>
            <w:tcW w:type="dxa" w:w="2880"/>
          </w:tcPr>
          <w:p>
            <w:r/>
            <w:r>
              <w:rPr/>
              <w:t>Q4 FY26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Cybersecurity update (post-2024 FDA guidance refresh)</w:t>
            </w:r>
          </w:p>
        </w:tc>
        <w:tc>
          <w:tcPr>
            <w:tcW w:type="dxa" w:w="2880"/>
          </w:tcPr>
          <w:p>
            <w:r/>
            <w:r>
              <w:rPr/>
              <w:t>Letter-to-file</w:t>
            </w:r>
          </w:p>
        </w:tc>
        <w:tc>
          <w:tcPr>
            <w:tcW w:type="dxa" w:w="2880"/>
          </w:tcPr>
          <w:p>
            <w:r/>
            <w:r>
              <w:rPr/>
              <w:t>Q3 FY26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Pediatric exclusion language refinement</w:t>
            </w:r>
          </w:p>
        </w:tc>
        <w:tc>
          <w:tcPr>
            <w:tcW w:type="dxa" w:w="2880"/>
          </w:tcPr>
          <w:p>
            <w:r/>
            <w:r>
              <w:rPr/>
              <w:t>Letter-to-file</w:t>
            </w:r>
          </w:p>
        </w:tc>
        <w:tc>
          <w:tcPr>
            <w:tcW w:type="dxa" w:w="2880"/>
          </w:tcPr>
          <w:p>
            <w:r/>
            <w:r>
              <w:rPr/>
              <w:t>Q2 FY26</w:t>
            </w:r>
          </w:p>
        </w:tc>
      </w:tr>
    </w:tbl>
    <w:p>
      <w:pPr>
        <w:pStyle w:val="Heading1"/>
      </w:pPr>
      <w:r/>
      <w:r>
        <w:rPr/>
        <w:t>FY27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Initiative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Pathway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Target Decision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Cardio-oncology indication</w:t>
            </w:r>
            <w:r>
              <w:rPr/>
              <w:t xml:space="preserve"> (chemotherapy-induced cardiotoxicity surveillance)</w:t>
            </w:r>
          </w:p>
        </w:tc>
        <w:tc>
          <w:tcPr>
            <w:tcW w:type="dxa" w:w="2880"/>
          </w:tcPr>
          <w:p>
            <w:r/>
            <w:r>
              <w:rPr/>
              <w:t>New 510(k)</w:t>
            </w:r>
          </w:p>
        </w:tc>
        <w:tc>
          <w:tcPr>
            <w:tcW w:type="dxa" w:w="2880"/>
          </w:tcPr>
          <w:p>
            <w:r/>
            <w:r>
              <w:rPr/>
              <w:t>Q4 FY27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Hypertrophic cardiomyopathy detection</w:t>
            </w:r>
          </w:p>
        </w:tc>
        <w:tc>
          <w:tcPr>
            <w:tcW w:type="dxa" w:w="2880"/>
          </w:tcPr>
          <w:p>
            <w:r/>
            <w:r>
              <w:rPr/>
              <w:t>510(k) supplement</w:t>
            </w:r>
          </w:p>
        </w:tc>
        <w:tc>
          <w:tcPr>
            <w:tcW w:type="dxa" w:w="2880"/>
          </w:tcPr>
          <w:p>
            <w:r/>
            <w:r>
              <w:rPr/>
              <w:t>Q3 FY27</w:t>
            </w:r>
          </w:p>
        </w:tc>
      </w:tr>
      <w:tr>
        <w:tc>
          <w:tcPr>
            <w:tcW w:type="dxa" w:w="2880"/>
          </w:tcPr>
          <w:p>
            <w:r/>
            <w:r>
              <w:rPr/>
              <w:t xml:space="preserve">EU-MDR (Class IIa via notified body) — </w:t>
            </w:r>
            <w:r>
              <w:rPr>
                <w:i/>
              </w:rPr>
              <w:t>gated on Series A close</w:t>
            </w:r>
          </w:p>
        </w:tc>
        <w:tc>
          <w:tcPr>
            <w:tcW w:type="dxa" w:w="2880"/>
          </w:tcPr>
          <w:p>
            <w:r/>
            <w:r>
              <w:rPr/>
              <w:t>CE mark / MDR</w:t>
            </w:r>
          </w:p>
        </w:tc>
        <w:tc>
          <w:tcPr>
            <w:tcW w:type="dxa" w:w="2880"/>
          </w:tcPr>
          <w:p>
            <w:r/>
            <w:r>
              <w:rPr/>
              <w:t>FY28</w:t>
            </w:r>
          </w:p>
        </w:tc>
      </w:tr>
    </w:tbl>
    <w:p>
      <w:r>
        <w:rPr/>
        <w:t>The cardio-oncology and HCM indications were the subject of the October 2025 Q-Sub (Q251014). FDA's feedback was constructive; both pathways are operationalized in the FY26-27 budget.</w:t>
      </w:r>
    </w:p>
    <w:p>
      <w:pPr>
        <w:pStyle w:val="Heading1"/>
      </w:pPr>
      <w:r/>
      <w:r>
        <w:rPr/>
        <w:t>FY28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Initiative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Pathway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Target Decision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Pediatric indication (initial)</w:t>
            </w:r>
          </w:p>
        </w:tc>
        <w:tc>
          <w:tcPr>
            <w:tcW w:type="dxa" w:w="2880"/>
          </w:tcPr>
          <w:p>
            <w:r/>
            <w:r>
              <w:rPr/>
              <w:t>New 510(k)</w:t>
            </w:r>
          </w:p>
        </w:tc>
        <w:tc>
          <w:tcPr>
            <w:tcW w:type="dxa" w:w="2880"/>
          </w:tcPr>
          <w:p>
            <w:r/>
            <w:r>
              <w:rPr/>
              <w:t>Q4 FY28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Stress-echo extension</w:t>
            </w:r>
          </w:p>
        </w:tc>
        <w:tc>
          <w:tcPr>
            <w:tcW w:type="dxa" w:w="2880"/>
          </w:tcPr>
          <w:p>
            <w:r/>
            <w:r>
              <w:rPr/>
              <w:t>510(k) supplement</w:t>
            </w:r>
          </w:p>
        </w:tc>
        <w:tc>
          <w:tcPr>
            <w:tcW w:type="dxa" w:w="2880"/>
          </w:tcPr>
          <w:p>
            <w:r/>
            <w:r>
              <w:rPr/>
              <w:t>Q3 FY28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Japan PMDA submission</w:t>
            </w:r>
          </w:p>
        </w:tc>
        <w:tc>
          <w:tcPr>
            <w:tcW w:type="dxa" w:w="2880"/>
          </w:tcPr>
          <w:p>
            <w:r/>
            <w:r>
              <w:rPr/>
              <w:t>PMDA Class II</w:t>
            </w:r>
          </w:p>
        </w:tc>
        <w:tc>
          <w:tcPr>
            <w:tcW w:type="dxa" w:w="2880"/>
          </w:tcPr>
          <w:p>
            <w:r/>
            <w:r>
              <w:rPr/>
              <w:t>FY28</w:t>
            </w:r>
          </w:p>
        </w:tc>
      </w:tr>
    </w:tbl>
    <w:p>
      <w:pPr>
        <w:pStyle w:val="Heading1"/>
      </w:pPr>
      <w:r/>
      <w:r>
        <w:rPr/>
        <w:t>Quality Management System</w:t>
      </w:r>
    </w:p>
    <w:p>
      <w:pPr>
        <w:pStyle w:val="ListBullet"/>
      </w:pPr>
      <w:r>
        <w:rPr>
          <w:b/>
        </w:rPr>
        <w:t>ISO 13485:2016</w:t>
      </w:r>
      <w:r>
        <w:rPr/>
        <w:t xml:space="preserve"> certified (Lloyd's Register), April 2024</w:t>
      </w:r>
    </w:p>
    <w:p>
      <w:pPr>
        <w:pStyle w:val="ListBullet"/>
      </w:pPr>
      <w:r>
        <w:rPr>
          <w:b/>
        </w:rPr>
        <w:t>IEC 62304</w:t>
      </w:r>
      <w:r>
        <w:rPr/>
        <w:t xml:space="preserve"> SDLC compliance — Class B</w:t>
      </w:r>
    </w:p>
    <w:p>
      <w:pPr>
        <w:pStyle w:val="ListBullet"/>
      </w:pPr>
      <w:r>
        <w:rPr>
          <w:b/>
        </w:rPr>
        <w:t>IEC 62366</w:t>
      </w:r>
      <w:r>
        <w:rPr/>
        <w:t xml:space="preserve"> usability engineering processes</w:t>
      </w:r>
    </w:p>
    <w:p>
      <w:pPr>
        <w:pStyle w:val="ListBullet"/>
      </w:pPr>
      <w:r>
        <w:rPr>
          <w:b/>
        </w:rPr>
        <w:t>ISO 14971</w:t>
      </w:r>
      <w:r>
        <w:rPr/>
        <w:t xml:space="preserve"> risk management — current risk file maintained</w:t>
      </w:r>
    </w:p>
    <w:p>
      <w:pPr>
        <w:pStyle w:val="ListBullet"/>
      </w:pPr>
      <w:r>
        <w:rPr>
          <w:b/>
        </w:rPr>
        <w:t>ISO/IEC 27001</w:t>
      </w:r>
      <w:r>
        <w:rPr/>
        <w:t xml:space="preserve"> information security — certification targeted Q4 FY26 (in scope of current external audit)</w:t>
      </w:r>
    </w:p>
    <w:p>
      <w:pPr>
        <w:pStyle w:val="Heading1"/>
      </w:pPr>
      <w:r/>
      <w:r>
        <w:rPr/>
        <w:t>Predetermined Change Control Plan (PCCP)</w:t>
      </w:r>
    </w:p>
    <w:p>
      <w:r>
        <w:rPr/>
        <w:t>The De Novo submission includes a PCCP with three categories of pre-authorized changes:</w:t>
      </w:r>
    </w:p>
    <w:p>
      <w:pPr>
        <w:pStyle w:val="ListNumber"/>
      </w:pPr>
      <w:r>
        <w:rPr>
          <w:b/>
        </w:rPr>
        <w:t>Performance-equivalent data refresh</w:t>
      </w:r>
      <w:r>
        <w:rPr/>
        <w:t xml:space="preserve"> — adding new training data within prespecified composition bounds; performance bounds prespecified</w:t>
      </w:r>
    </w:p>
    <w:p>
      <w:pPr>
        <w:pStyle w:val="ListNumber"/>
      </w:pPr>
      <w:r>
        <w:rPr>
          <w:b/>
        </w:rPr>
        <w:t>Vendor-calibration table updates</w:t>
      </w:r>
      <w:r>
        <w:rPr/>
        <w:t xml:space="preserve"> — adding new echo-machine vendor/version characterizations</w:t>
      </w:r>
    </w:p>
    <w:p>
      <w:pPr>
        <w:pStyle w:val="ListNumber"/>
      </w:pPr>
      <w:r>
        <w:rPr>
          <w:b/>
        </w:rPr>
        <w:t>Confidence-threshold tuning</w:t>
      </w:r>
      <w:r>
        <w:rPr/>
        <w:t xml:space="preserve"> — adjusting the confidence-gating threshold within validated ranges</w:t>
      </w:r>
    </w:p>
    <w:p>
      <w:r>
        <w:rPr/>
        <w:t xml:space="preserve">The PCCP does </w:t>
      </w:r>
      <w:r>
        <w:rPr>
          <w:b/>
        </w:rPr>
        <w:t>not</w:t>
      </w:r>
      <w:r>
        <w:rPr/>
        <w:t xml:space="preserve"> authorize architectural changes, indication changes, or moves to fully autonomous (non-adjunctive) operation. Those continue to require new submissions.</w:t>
      </w:r>
    </w:p>
    <w:p>
      <w:pPr>
        <w:pStyle w:val="Heading1"/>
      </w:pPr>
      <w:r/>
      <w:r>
        <w:rPr/>
        <w:t>Internal Governance</w:t>
      </w:r>
    </w:p>
    <w:p>
      <w:pPr>
        <w:pStyle w:val="ListBullet"/>
      </w:pPr>
      <w:r>
        <w:rPr>
          <w:b/>
        </w:rPr>
        <w:t>VP Regulatory &amp; Quality</w:t>
      </w:r>
      <w:r>
        <w:rPr/>
        <w:t xml:space="preserve"> — owns roadmap and submissions</w:t>
      </w:r>
    </w:p>
    <w:p>
      <w:pPr>
        <w:pStyle w:val="ListBullet"/>
      </w:pPr>
      <w:r>
        <w:rPr>
          <w:b/>
        </w:rPr>
        <w:t>Regulatory Steering Committee</w:t>
      </w:r>
      <w:r>
        <w:rPr/>
        <w:t xml:space="preserve"> — monthly; CEO, COO, CTO, VP Reg/Quality</w:t>
      </w:r>
    </w:p>
    <w:p>
      <w:pPr>
        <w:pStyle w:val="ListBullet"/>
      </w:pPr>
      <w:r>
        <w:rPr>
          <w:b/>
        </w:rPr>
        <w:t>Quality Management Review</w:t>
      </w:r>
      <w:r>
        <w:rPr/>
        <w:t xml:space="preserve"> — quarterly per ISO 13485 §5.6</w:t>
      </w:r>
    </w:p>
    <w:p>
      <w:pPr>
        <w:pStyle w:val="ListBullet"/>
      </w:pPr>
      <w:r>
        <w:rPr>
          <w:b/>
        </w:rPr>
        <w:t>External advisor</w:t>
      </w:r>
      <w:r>
        <w:rPr/>
        <w:t xml:space="preserve"> — Hogan Lovells partner attends quarterly RSC meetings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