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Clinical Validation Study — EchoPilot v3 Pivotal</w:t>
      </w:r>
    </w:p>
    <w:p>
      <w:pPr>
        <w:pStyle w:val="IntenseQuote"/>
      </w:pPr>
      <w:r>
        <w:rPr>
          <w:i/>
        </w:rPr>
        <w:t>Sample document. Numbers are illustrative but internally consistent across the data room.</w:t>
      </w:r>
    </w:p>
    <w:p>
      <w:pPr>
        <w:pStyle w:val="Heading1"/>
      </w:pPr>
      <w:r/>
      <w:r>
        <w:rPr/>
        <w:t>Citation</w:t>
      </w:r>
    </w:p>
    <w:p>
      <w:r>
        <w:rPr/>
        <w:t xml:space="preserve">Chen M, Falk RH, Maurer MS, Sperry BW, Iyer R, </w:t>
      </w:r>
      <w:r>
        <w:rPr>
          <w:i/>
        </w:rPr>
        <w:t>et al.</w:t>
      </w:r>
      <w:r>
        <w:rPr/>
        <w:t xml:space="preserve"> "Multicenter Retrospective Validation of an AI-Based Echocardiographic Tool for Detection of Cardiac Amyloidosis." </w:t>
      </w:r>
      <w:r>
        <w:rPr>
          <w:b/>
        </w:rPr>
        <w:t>JACC: Cardiovascular Imaging</w:t>
      </w:r>
      <w:r>
        <w:rPr/>
        <w:t>, 2025; 18(3): 412-424.</w:t>
      </w:r>
    </w:p>
    <w:p>
      <w:pPr>
        <w:pStyle w:val="Heading1"/>
      </w:pPr>
      <w:r/>
      <w:r>
        <w:rPr/>
        <w:t>Study Design</w:t>
      </w:r>
    </w:p>
    <w:p>
      <w:r>
        <w:rPr/>
        <w:t xml:space="preserve">A </w:t>
      </w:r>
      <w:r>
        <w:rPr>
          <w:b/>
        </w:rPr>
        <w:t>multicenter retrospective cohort study</w:t>
      </w:r>
      <w:r>
        <w:rPr/>
        <w:t xml:space="preserve"> of consecutive adult patients undergoing transthoracic echocardiography for any indication at five academic medical centers between January 2018 and June 2023. All studies were re-analyzed with EchoPilot v3 in a blinded fashion against a reference standard built from one or more of: cardiac MRI with native T1 mapping, technetium-99m PYP scintigraphy, or endomyocardial biopsy.</w:t>
      </w:r>
    </w:p>
    <w:p>
      <w:pPr>
        <w:pStyle w:val="ListBullet"/>
      </w:pPr>
      <w:r>
        <w:rPr>
          <w:b/>
        </w:rPr>
        <w:t>Sites:</w:t>
      </w:r>
      <w:r>
        <w:rPr/>
        <w:t xml:space="preserve"> Mass General Brigham, Cleveland Clinic, Mayo Clinic, Columbia University Irving Medical Center, Saint Luke's Mid America Heart Institute</w:t>
      </w:r>
    </w:p>
    <w:p>
      <w:pPr>
        <w:pStyle w:val="ListBullet"/>
      </w:pPr>
      <w:r>
        <w:rPr>
          <w:b/>
        </w:rPr>
        <w:t>Total studies analyzed:</w:t>
      </w:r>
      <w:r>
        <w:rPr/>
        <w:t xml:space="preserve"> 4,200 echocardiograms from 4,200 unique patients</w:t>
      </w:r>
    </w:p>
    <w:p>
      <w:pPr>
        <w:pStyle w:val="ListBullet"/>
      </w:pPr>
      <w:r>
        <w:rPr>
          <w:b/>
        </w:rPr>
        <w:t>Reference-confirmed positive:</w:t>
      </w:r>
      <w:r>
        <w:rPr/>
        <w:t xml:space="preserve"> 312 patients (7.4% prevalence — enriched relative to general echo population by site case-mix)</w:t>
      </w:r>
    </w:p>
    <w:p>
      <w:pPr>
        <w:pStyle w:val="ListBullet"/>
      </w:pPr>
      <w:r>
        <w:rPr>
          <w:b/>
        </w:rPr>
        <w:t>Reference-confirmed negative:</w:t>
      </w:r>
      <w:r>
        <w:rPr/>
        <w:t xml:space="preserve"> 3,888 patients</w:t>
      </w:r>
    </w:p>
    <w:p>
      <w:pPr>
        <w:pStyle w:val="Heading1"/>
      </w:pPr>
      <w:r/>
      <w:r>
        <w:rPr/>
        <w:t>Primary Endpoint</w:t>
      </w:r>
    </w:p>
    <w:p>
      <w:r>
        <w:rPr/>
        <w:t>Discrimination of EchoPilot v3 against the composite reference standard, measured by area under the receiver operating characteristic curve (AUROC).</w:t>
      </w:r>
    </w:p>
    <w:p>
      <w:pPr>
        <w:pStyle w:val="Heading1"/>
      </w:pPr>
      <w:r/>
      <w:r>
        <w:rPr/>
        <w:t>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95% CI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AUROC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0.94</w:t>
            </w:r>
          </w:p>
        </w:tc>
        <w:tc>
          <w:tcPr>
            <w:tcW w:type="dxa" w:w="2880"/>
          </w:tcPr>
          <w:p>
            <w:r/>
            <w:r>
              <w:rPr/>
              <w:t>0.92 – 0.96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Sensitivity (at operating threshold)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92.0%</w:t>
            </w:r>
          </w:p>
        </w:tc>
        <w:tc>
          <w:tcPr>
            <w:tcW w:type="dxa" w:w="2880"/>
          </w:tcPr>
          <w:p>
            <w:r/>
            <w:r>
              <w:rPr/>
              <w:t>88.4 – 94.7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Specificity (at operating threshold)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88.0%</w:t>
            </w:r>
          </w:p>
        </w:tc>
        <w:tc>
          <w:tcPr>
            <w:tcW w:type="dxa" w:w="2880"/>
          </w:tcPr>
          <w:p>
            <w:r/>
            <w:r>
              <w:rPr/>
              <w:t>87.0 – 89.0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PPV (at study prevalence)</w:t>
            </w:r>
          </w:p>
        </w:tc>
        <w:tc>
          <w:tcPr>
            <w:tcW w:type="dxa" w:w="2880"/>
          </w:tcPr>
          <w:p>
            <w:r/>
            <w:r>
              <w:rPr/>
              <w:t>38.4%</w:t>
            </w:r>
          </w:p>
        </w:tc>
        <w:tc>
          <w:tcPr>
            <w:tcW w:type="dxa" w:w="2880"/>
          </w:tcPr>
          <w:p>
            <w:r/>
            <w:r>
              <w:rPr/>
              <w:t>35.1 – 41.8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NPV (at study prevalence)</w:t>
            </w:r>
          </w:p>
        </w:tc>
        <w:tc>
          <w:tcPr>
            <w:tcW w:type="dxa" w:w="2880"/>
          </w:tcPr>
          <w:p>
            <w:r/>
            <w:r>
              <w:rPr/>
              <w:t>99.3%</w:t>
            </w:r>
          </w:p>
        </w:tc>
        <w:tc>
          <w:tcPr>
            <w:tcW w:type="dxa" w:w="2880"/>
          </w:tcPr>
          <w:p>
            <w:r/>
            <w:r>
              <w:rPr/>
              <w:t>99.0 – 99.5</w:t>
            </w:r>
          </w:p>
        </w:tc>
      </w:tr>
    </w:tbl>
    <w:p>
      <w:r>
        <w:rPr/>
        <w:t>The operating threshold was prespecified (0.62 probability) based on a separate development cohort and locked prior to validation analysis.</w:t>
      </w:r>
    </w:p>
    <w:p>
      <w:pPr>
        <w:pStyle w:val="Heading1"/>
      </w:pPr>
      <w:r/>
      <w:r>
        <w:rPr/>
        <w:t>Subgroup Performance</w:t>
      </w:r>
    </w:p>
    <w:p>
      <w:r>
        <w:rPr/>
        <w:t>Performance was robust across prespecified subgroups:</w:t>
      </w:r>
    </w:p>
    <w:p>
      <w:pPr>
        <w:pStyle w:val="ListBullet"/>
      </w:pPr>
      <w:r>
        <w:rPr>
          <w:b/>
        </w:rPr>
        <w:t>Sex:</w:t>
      </w:r>
      <w:r>
        <w:rPr/>
        <w:t xml:space="preserve"> AUROC 0.93 (female) vs 0.94 (male) — non-significant</w:t>
      </w:r>
    </w:p>
    <w:p>
      <w:pPr>
        <w:pStyle w:val="ListBullet"/>
      </w:pPr>
      <w:r>
        <w:rPr>
          <w:b/>
        </w:rPr>
        <w:t>Age:</w:t>
      </w:r>
      <w:r>
        <w:rPr/>
        <w:t xml:space="preserve"> AUROC 0.93 (&lt;70) vs 0.94 (≥70)</w:t>
      </w:r>
    </w:p>
    <w:p>
      <w:pPr>
        <w:pStyle w:val="ListBullet"/>
      </w:pPr>
      <w:r>
        <w:rPr>
          <w:b/>
        </w:rPr>
        <w:t>Echo vendor:</w:t>
      </w:r>
      <w:r>
        <w:rPr/>
        <w:t xml:space="preserve"> AUROC range 0.92 – 0.95 across GE, Philips, Siemens, Canon</w:t>
      </w:r>
    </w:p>
    <w:p>
      <w:pPr>
        <w:pStyle w:val="ListBullet"/>
      </w:pPr>
      <w:r>
        <w:rPr>
          <w:b/>
        </w:rPr>
        <w:t>Amyloidosis subtype:</w:t>
      </w:r>
      <w:r>
        <w:rPr/>
        <w:t xml:space="preserve"> AUROC 0.95 ATTR-wt, 0.93 ATTR-v, 0.92 AL — all ≥0.92</w:t>
      </w:r>
    </w:p>
    <w:p>
      <w:pPr>
        <w:pStyle w:val="ListBullet"/>
      </w:pPr>
      <w:r>
        <w:rPr>
          <w:b/>
        </w:rPr>
        <w:t>LV ejection fraction:</w:t>
      </w:r>
      <w:r>
        <w:rPr/>
        <w:t xml:space="preserve"> AUROC 0.94 in EF≥50% subgroup (preserved-EF)</w:t>
      </w:r>
    </w:p>
    <w:p>
      <w:r>
        <w:rPr/>
        <w:t>The preserved-EF subgroup performance is clinically important: amyloidosis is frequently missed in HFpEF patients, and EchoPilot's sensitivity in this population was 89.6%.</w:t>
      </w:r>
    </w:p>
    <w:p>
      <w:pPr>
        <w:pStyle w:val="Heading1"/>
      </w:pPr>
      <w:r/>
      <w:r>
        <w:rPr/>
        <w:t>Comparator Analyses</w:t>
      </w:r>
    </w:p>
    <w:p>
      <w:pPr>
        <w:pStyle w:val="ListBullet"/>
      </w:pPr>
      <w:r>
        <w:rPr>
          <w:b/>
        </w:rPr>
        <w:t>vs. cardiologist-only assessment</w:t>
      </w:r>
      <w:r>
        <w:rPr/>
        <w:t xml:space="preserve"> (using clinical echo report) — sensitivity 92.0% (EchoPilot) vs 41.7% (cardiologist alone). Specificity 88.0% vs 96.4%. EchoPilot is materially more sensitive at acceptable specificity tradeoff.</w:t>
      </w:r>
    </w:p>
    <w:p>
      <w:pPr>
        <w:pStyle w:val="ListBullet"/>
      </w:pPr>
      <w:r>
        <w:rPr>
          <w:b/>
        </w:rPr>
        <w:t>vs. predicate (Ultromics EchoGo Pro)</w:t>
      </w:r>
      <w:r>
        <w:rPr/>
        <w:t xml:space="preserve"> on a 600-study common-test subset — head-to-head AUROC 0.94 vs 0.87 (p&lt;0.001 by DeLong).</w:t>
      </w:r>
    </w:p>
    <w:p>
      <w:pPr>
        <w:pStyle w:val="Heading1"/>
      </w:pPr>
      <w:r/>
      <w:r>
        <w:rPr/>
        <w:t>Time-to-Diagnosis Substudy</w:t>
      </w:r>
    </w:p>
    <w:p>
      <w:r>
        <w:rPr/>
        <w:t xml:space="preserve">In a prespecified substudy of patients ultimately confirmed positive (n=312), back-calculation against the chart-documented date of clinical amyloidosis diagnosis showed EchoPilot would have flagged the patient an average of </w:t>
      </w:r>
      <w:r>
        <w:rPr>
          <w:b/>
        </w:rPr>
        <w:t>84 days earlier</w:t>
      </w:r>
      <w:r>
        <w:rPr/>
        <w:t xml:space="preserve"> than actual diagnosis (median 71, IQR 28 – 134).</w:t>
      </w:r>
    </w:p>
    <w:p>
      <w:pPr>
        <w:pStyle w:val="Heading1"/>
      </w:pPr>
      <w:r/>
      <w:r>
        <w:rPr/>
        <w:t>Limitations</w:t>
      </w:r>
    </w:p>
    <w:p>
      <w:pPr>
        <w:pStyle w:val="ListBullet"/>
      </w:pPr>
      <w:r>
        <w:rPr/>
        <w:t xml:space="preserve">Retrospective design; prospective real-world performance is being captured in pilot deployments (see </w:t>
      </w:r>
      <w:r>
        <w:rPr>
          <w:rFonts w:ascii="Consolas" w:hAnsi="Consolas"/>
          <w:sz w:val="20"/>
        </w:rPr>
        <w:t>pilot-deployment-results.md</w:t>
      </w:r>
      <w:r>
        <w:rPr/>
        <w:t>)</w:t>
      </w:r>
    </w:p>
    <w:p>
      <w:pPr>
        <w:pStyle w:val="ListBullet"/>
      </w:pPr>
      <w:r>
        <w:rPr/>
        <w:t>Reference standard varied by site availability; sensitivity analyses confirmed robustness across reference modalities</w:t>
      </w:r>
    </w:p>
    <w:p>
      <w:pPr>
        <w:pStyle w:val="ListBullet"/>
      </w:pPr>
      <w:r>
        <w:rPr/>
        <w:t>Five academic sites; community generalizability is being tested via the Atrium / Banner / Intermountain / Henry Ford pilots</w:t>
      </w:r>
    </w:p>
    <w:p>
      <w:pPr>
        <w:pStyle w:val="Heading1"/>
      </w:pPr>
      <w:r/>
      <w:r>
        <w:rPr/>
        <w:t>Funding and Disclosures</w:t>
      </w:r>
    </w:p>
    <w:p>
      <w:r>
        <w:rPr/>
        <w:t xml:space="preserve">Study sponsored by HealthCo, Inc. Site PIs received institutional grants; several site PIs serve on HealthCo's clinical advisory board (see </w:t>
      </w:r>
      <w:r>
        <w:rPr>
          <w:rFonts w:ascii="Consolas" w:hAnsi="Consolas"/>
          <w:sz w:val="20"/>
        </w:rPr>
        <w:t>kol-advisory-board.md</w:t>
      </w:r>
      <w:r>
        <w:rPr/>
        <w:t>). All disclosures published with the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