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
        <w:rPr/>
        <w:t>Clinical Advisory Board (KOLs)</w:t>
      </w:r>
    </w:p>
    <w:p>
      <w:pPr>
        <w:pStyle w:val="IntenseQuote"/>
      </w:pPr>
      <w:r>
        <w:rPr>
          <w:i/>
        </w:rPr>
        <w:t>Sample document. KOLs named below are real cardiac amyloidosis experts; their inclusion here is illustrative for sample-document purposes.</w:t>
      </w:r>
    </w:p>
    <w:p>
      <w:r>
        <w:rPr/>
        <w:t>HealthCo's Clinical Advisory Board comprises three internationally recognized leaders in cardiac amyloidosis. The CAB convenes quarterly with the executive team and engages ad hoc on regulatory submissions, study design, and scientific publications. Each advisor holds equity (vested over 24 months) within HealthCo's option pool.</w:t>
      </w:r>
    </w:p>
    <w:p>
      <w:pPr>
        <w:pStyle w:val="Heading1"/>
      </w:pPr>
      <w:r/>
      <w:r>
        <w:rPr/>
        <w:t>Dr. Rodney Falk, MD</w:t>
      </w:r>
    </w:p>
    <w:p>
      <w:r>
        <w:rPr>
          <w:b/>
        </w:rPr>
        <w:t>Affiliation:</w:t>
      </w:r>
      <w:r>
        <w:rPr/>
        <w:t xml:space="preserve"> Director, Brigham and Women's Hospital Cardiac Amyloidosis Program; Associate Professor of Medicine, Harvard Medical School</w:t>
      </w:r>
    </w:p>
    <w:p>
      <w:r>
        <w:rPr>
          <w:b/>
        </w:rPr>
        <w:t>Role with HealthCo:</w:t>
      </w:r>
      <w:r>
        <w:rPr/>
        <w:t xml:space="preserve"> Founding clinical advisor (since seed round). Co-author on the 2025 JACC: CV Imaging validation paper. Site PI for the Mass General Brigham pilot.</w:t>
      </w:r>
    </w:p>
    <w:p>
      <w:r>
        <w:rPr>
          <w:b/>
        </w:rPr>
        <w:t>Why he matters:</w:t>
      </w:r>
      <w:r>
        <w:rPr/>
        <w:t xml:space="preserve"> Dr. Falk is among the most-cited authors in cardiac amyloidosis worldwide and was instrumental in establishing the modern era of disease awareness and treatment. His endorsement carries substantial weight with both academic centers and community cardiology programs evaluating EchoPilot.</w:t>
      </w:r>
    </w:p>
    <w:p>
      <w:r>
        <w:rPr>
          <w:b/>
        </w:rPr>
        <w:t>Sample statement (illustrative):</w:t>
      </w:r>
    </w:p>
    <w:p>
      <w:pPr>
        <w:pStyle w:val="IntenseQuote"/>
      </w:pPr>
      <w:r>
        <w:rPr>
          <w:i/>
        </w:rPr>
        <w:t>"EchoPilot addresses one of the most stubborn diagnostic gaps in cardiology — finding amyloid in patients who present with HFpEF and are otherwise reassuringly 'normal' on echo. The data from our pilot is consistent with what the validation study showed: the algorithm catches cases that experienced readers miss."</w:t>
      </w:r>
    </w:p>
    <w:p>
      <w:pPr>
        <w:pStyle w:val="Heading1"/>
      </w:pPr>
      <w:r/>
      <w:r>
        <w:rPr/>
        <w:t>Dr. Mathew S. Maurer, MD</w:t>
      </w:r>
    </w:p>
    <w:p>
      <w:r>
        <w:rPr>
          <w:b/>
        </w:rPr>
        <w:t>Affiliation:</w:t>
      </w:r>
      <w:r>
        <w:rPr/>
        <w:t xml:space="preserve"> Arnold and Arlene Goldstein Professor of Cardiology; Director, Cardiac Amyloidosis Program, Columbia University Irving Medical Center</w:t>
      </w:r>
    </w:p>
    <w:p>
      <w:r>
        <w:rPr>
          <w:b/>
        </w:rPr>
        <w:t>Role with HealthCo:</w:t>
      </w:r>
      <w:r>
        <w:rPr/>
        <w:t xml:space="preserve"> Clinical advisor since 2023. Senior author on the JACC: CV Imaging paper. Lead author of the seminal 2014 NEJM piece on ATTR-wild type prevalence in HFpEF, which underpins HealthCo's market-sizing assumptions (</w:t>
      </w:r>
      <w:r>
        <w:rPr>
          <w:rFonts w:ascii="Consolas" w:hAnsi="Consolas"/>
          <w:sz w:val="20"/>
        </w:rPr>
        <w:t>06-Market-Competitive/market-sizing-tam-sam-som.md</w:t>
      </w:r>
      <w:r>
        <w:rPr/>
        <w:t>).</w:t>
      </w:r>
    </w:p>
    <w:p>
      <w:r>
        <w:rPr>
          <w:b/>
        </w:rPr>
        <w:t>Why he matters:</w:t>
      </w:r>
      <w:r>
        <w:rPr/>
        <w:t xml:space="preserve"> Dr. Maurer's work defined the epidemiological case for amyloidosis screening — that the disease is meaningfully underdiagnosed in HFpEF and aortic stenosis populations. EchoPilot operationalizes that screening case at the imaging layer.</w:t>
      </w:r>
    </w:p>
    <w:p>
      <w:r>
        <w:rPr>
          <w:b/>
        </w:rPr>
        <w:t>Sample statement (illustrative):</w:t>
      </w:r>
    </w:p>
    <w:p>
      <w:pPr>
        <w:pStyle w:val="IntenseQuote"/>
      </w:pPr>
      <w:r>
        <w:rPr>
          <w:i/>
        </w:rPr>
        <w:t>"We have known for over a decade that ATTR amyloidosis is dramatically underdiagnosed. The bottleneck has been the inability to screen at scale. An echo-based AI tool — used adjunctively, not autonomously — is the most plausible path to identify these patients earlier in their disease course."</w:t>
      </w:r>
    </w:p>
    <w:p>
      <w:pPr>
        <w:pStyle w:val="Heading1"/>
      </w:pPr>
      <w:r/>
      <w:r>
        <w:rPr/>
        <w:t>Dr. Brett Sperry, MD</w:t>
      </w:r>
    </w:p>
    <w:p>
      <w:r>
        <w:rPr>
          <w:b/>
        </w:rPr>
        <w:t>Affiliation:</w:t>
      </w:r>
      <w:r>
        <w:rPr/>
        <w:t xml:space="preserve"> Director of Advanced Cardiac Imaging, Saint Luke's Mid America Heart Institute (Kansas City)</w:t>
      </w:r>
    </w:p>
    <w:p>
      <w:r>
        <w:rPr>
          <w:b/>
        </w:rPr>
        <w:t>Role with HealthCo:</w:t>
      </w:r>
      <w:r>
        <w:rPr/>
        <w:t xml:space="preserve"> Clinical advisor since 2024. Co-author on the JACC validation paper. Engaged on community-cardiology generalizability, the cardio-oncology indication design, and FDA Q-Sub strategy.</w:t>
      </w:r>
    </w:p>
    <w:p>
      <w:r>
        <w:rPr>
          <w:b/>
        </w:rPr>
        <w:t>Why he matters:</w:t>
      </w:r>
      <w:r>
        <w:rPr/>
        <w:t xml:space="preserve"> Dr. Sperry is widely published in cardiac imaging and amyloidosis, and brings the perspective of a high-volume regional reference center — bridging academic and community-cardiology contexts. His engagement supports the Atrium / Banner / Intermountain / Henry Ford pilot strategy aimed at non-academic generalizability.</w:t>
      </w:r>
    </w:p>
    <w:p>
      <w:r>
        <w:rPr>
          <w:b/>
        </w:rPr>
        <w:t>Sample statement (illustrative):</w:t>
      </w:r>
    </w:p>
    <w:p>
      <w:pPr>
        <w:pStyle w:val="IntenseQuote"/>
      </w:pPr>
      <w:r>
        <w:rPr>
          <w:i/>
        </w:rPr>
        <w:t>"What I see at Saint Luke's is consistent with the multicenter data: the algorithm doesn't just work at MGH or Cleveland Clinic. It works in community-affiliate workflows where cardiac amyloidosis expertise isn't co-located with the echo lab."</w:t>
      </w:r>
    </w:p>
    <w:p>
      <w:pPr>
        <w:pStyle w:val="Heading1"/>
      </w:pPr>
      <w:r/>
      <w:r>
        <w:rPr/>
        <w:t>CAB Operating Cadence</w:t>
      </w:r>
    </w:p>
    <w:p>
      <w:pPr>
        <w:pStyle w:val="ListBullet"/>
      </w:pPr>
      <w:r>
        <w:rPr>
          <w:b/>
        </w:rPr>
        <w:t>Quarterly meetings</w:t>
      </w:r>
      <w:r>
        <w:rPr/>
        <w:t xml:space="preserve"> with HealthCo executives (Maya Chen, Raj Iyer, Sarah Whittaker)</w:t>
      </w:r>
    </w:p>
    <w:p>
      <w:pPr>
        <w:pStyle w:val="ListBullet"/>
      </w:pPr>
      <w:r>
        <w:rPr>
          <w:b/>
        </w:rPr>
        <w:t>Ad hoc consultation</w:t>
      </w:r>
      <w:r>
        <w:rPr/>
        <w:t xml:space="preserve"> on regulatory submissions, manuscript drafts, conference abstracts</w:t>
      </w:r>
    </w:p>
    <w:p>
      <w:pPr>
        <w:pStyle w:val="ListBullet"/>
      </w:pPr>
      <w:r>
        <w:rPr>
          <w:b/>
        </w:rPr>
        <w:t>Annual strategic offsite</w:t>
      </w:r>
      <w:r>
        <w:rPr/>
        <w:t xml:space="preserve"> with the broader leadership team</w:t>
      </w:r>
    </w:p>
    <w:p>
      <w:pPr>
        <w:pStyle w:val="ListBullet"/>
      </w:pPr>
      <w:r>
        <w:rPr>
          <w:b/>
        </w:rPr>
        <w:t>Compensation:</w:t>
      </w:r>
      <w:r>
        <w:rPr/>
        <w:t xml:space="preserve"> option grants of 0.10 – 0.25% common, plus per-engagement honoraria at fair-market rates</w:t>
      </w:r>
    </w:p>
    <w:p>
      <w:pPr>
        <w:pStyle w:val="Heading1"/>
      </w:pPr>
      <w:r/>
      <w:r>
        <w:rPr/>
        <w:t>Additional Advisors (not full CAB)</w:t>
      </w:r>
    </w:p>
    <w:p>
      <w:r>
        <w:rPr/>
        <w:t xml:space="preserve">HealthCo also engages a broader network of clinical, regulatory, and reimbursement advisors whose roster is detailed in </w:t>
      </w:r>
      <w:r>
        <w:rPr>
          <w:rFonts w:ascii="Consolas" w:hAnsi="Consolas"/>
          <w:sz w:val="20"/>
        </w:rPr>
        <w:t>08-Team/advisor-board-roster.md</w:t>
      </w:r>
      <w:r>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