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/>
      <w:r>
        <w:rPr/>
        <w:t>Pilot Deployment Results</w:t>
      </w:r>
    </w:p>
    <w:p>
      <w:pPr>
        <w:pStyle w:val="IntenseQuote"/>
      </w:pPr>
      <w:r>
        <w:rPr>
          <w:i/>
        </w:rPr>
        <w:t>Sample document. Numbers are illustrative but internally consistent.</w:t>
      </w:r>
    </w:p>
    <w:p>
      <w:r>
        <w:rPr/>
        <w:t xml:space="preserve">This document summarizes real-world deployment results from HealthCo's seven health-system pilots, covering the period from each site's go-live through </w:t>
      </w:r>
      <w:r>
        <w:rPr>
          <w:b/>
        </w:rPr>
        <w:t>March 2026</w:t>
      </w:r>
      <w:r>
        <w:rPr/>
        <w:t>.</w:t>
      </w:r>
    </w:p>
    <w:p>
      <w:pPr>
        <w:pStyle w:val="Heading1"/>
      </w:pPr>
      <w:r/>
      <w:r>
        <w:rPr/>
        <w:t>Cohort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Site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Go-Live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Echos Analyzed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Cases Flagged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Newly Diagnosed Amyloidosis*</w:t>
            </w:r>
          </w:p>
        </w:tc>
      </w:tr>
      <w:tr>
        <w:tc>
          <w:tcPr>
            <w:tcW w:type="dxa" w:w="1440"/>
          </w:tcPr>
          <w:p>
            <w:r/>
            <w:r>
              <w:rPr/>
              <w:t>1</w:t>
            </w:r>
          </w:p>
        </w:tc>
        <w:tc>
          <w:tcPr>
            <w:tcW w:type="dxa" w:w="1440"/>
          </w:tcPr>
          <w:p>
            <w:r/>
            <w:r>
              <w:rPr/>
              <w:t>Mass General Brigham</w:t>
            </w:r>
          </w:p>
        </w:tc>
        <w:tc>
          <w:tcPr>
            <w:tcW w:type="dxa" w:w="1440"/>
          </w:tcPr>
          <w:p>
            <w:r/>
            <w:r>
              <w:rPr/>
              <w:t>Apr 2023</w:t>
            </w:r>
          </w:p>
        </w:tc>
        <w:tc>
          <w:tcPr>
            <w:tcW w:type="dxa" w:w="1440"/>
          </w:tcPr>
          <w:p>
            <w:r/>
            <w:r>
              <w:rPr/>
              <w:t>4,820</w:t>
            </w:r>
          </w:p>
        </w:tc>
        <w:tc>
          <w:tcPr>
            <w:tcW w:type="dxa" w:w="1440"/>
          </w:tcPr>
          <w:p>
            <w:r/>
            <w:r>
              <w:rPr/>
              <w:t>312</w:t>
            </w:r>
          </w:p>
        </w:tc>
        <w:tc>
          <w:tcPr>
            <w:tcW w:type="dxa" w:w="1440"/>
          </w:tcPr>
          <w:p>
            <w:r/>
            <w:r>
              <w:rPr/>
              <w:t>14</w:t>
            </w:r>
          </w:p>
        </w:tc>
      </w:tr>
      <w:tr>
        <w:tc>
          <w:tcPr>
            <w:tcW w:type="dxa" w:w="1440"/>
          </w:tcPr>
          <w:p>
            <w:r/>
            <w:r>
              <w:rPr/>
              <w:t>2</w:t>
            </w:r>
          </w:p>
        </w:tc>
        <w:tc>
          <w:tcPr>
            <w:tcW w:type="dxa" w:w="1440"/>
          </w:tcPr>
          <w:p>
            <w:r/>
            <w:r>
              <w:rPr/>
              <w:t>Cleveland Clinic</w:t>
            </w:r>
          </w:p>
        </w:tc>
        <w:tc>
          <w:tcPr>
            <w:tcW w:type="dxa" w:w="1440"/>
          </w:tcPr>
          <w:p>
            <w:r/>
            <w:r>
              <w:rPr/>
              <w:t>Sep 2023</w:t>
            </w:r>
          </w:p>
        </w:tc>
        <w:tc>
          <w:tcPr>
            <w:tcW w:type="dxa" w:w="1440"/>
          </w:tcPr>
          <w:p>
            <w:r/>
            <w:r>
              <w:rPr/>
              <w:t>4,210</w:t>
            </w:r>
          </w:p>
        </w:tc>
        <w:tc>
          <w:tcPr>
            <w:tcW w:type="dxa" w:w="1440"/>
          </w:tcPr>
          <w:p>
            <w:r/>
            <w:r>
              <w:rPr/>
              <w:t>268</w:t>
            </w:r>
          </w:p>
        </w:tc>
        <w:tc>
          <w:tcPr>
            <w:tcW w:type="dxa" w:w="1440"/>
          </w:tcPr>
          <w:p>
            <w:r/>
            <w:r>
              <w:rPr/>
              <w:t>11</w:t>
            </w:r>
          </w:p>
        </w:tc>
      </w:tr>
      <w:tr>
        <w:tc>
          <w:tcPr>
            <w:tcW w:type="dxa" w:w="1440"/>
          </w:tcPr>
          <w:p>
            <w:r/>
            <w:r>
              <w:rPr/>
              <w:t>3</w:t>
            </w:r>
          </w:p>
        </w:tc>
        <w:tc>
          <w:tcPr>
            <w:tcW w:type="dxa" w:w="1440"/>
          </w:tcPr>
          <w:p>
            <w:r/>
            <w:r>
              <w:rPr/>
              <w:t>Mayo Clinic</w:t>
            </w:r>
          </w:p>
        </w:tc>
        <w:tc>
          <w:tcPr>
            <w:tcW w:type="dxa" w:w="1440"/>
          </w:tcPr>
          <w:p>
            <w:r/>
            <w:r>
              <w:rPr/>
              <w:t>Jan 2024</w:t>
            </w:r>
          </w:p>
        </w:tc>
        <w:tc>
          <w:tcPr>
            <w:tcW w:type="dxa" w:w="1440"/>
          </w:tcPr>
          <w:p>
            <w:r/>
            <w:r>
              <w:rPr/>
              <w:t>2,940</w:t>
            </w:r>
          </w:p>
        </w:tc>
        <w:tc>
          <w:tcPr>
            <w:tcW w:type="dxa" w:w="1440"/>
          </w:tcPr>
          <w:p>
            <w:r/>
            <w:r>
              <w:rPr/>
              <w:t>184</w:t>
            </w:r>
          </w:p>
        </w:tc>
        <w:tc>
          <w:tcPr>
            <w:tcW w:type="dxa" w:w="1440"/>
          </w:tcPr>
          <w:p>
            <w:r/>
            <w:r>
              <w:rPr/>
              <w:t>8</w:t>
            </w:r>
          </w:p>
        </w:tc>
      </w:tr>
      <w:tr>
        <w:tc>
          <w:tcPr>
            <w:tcW w:type="dxa" w:w="1440"/>
          </w:tcPr>
          <w:p>
            <w:r/>
            <w:r>
              <w:rPr/>
              <w:t>4</w:t>
            </w:r>
          </w:p>
        </w:tc>
        <w:tc>
          <w:tcPr>
            <w:tcW w:type="dxa" w:w="1440"/>
          </w:tcPr>
          <w:p>
            <w:r/>
            <w:r>
              <w:rPr/>
              <w:t>Atrium Health</w:t>
            </w:r>
          </w:p>
        </w:tc>
        <w:tc>
          <w:tcPr>
            <w:tcW w:type="dxa" w:w="1440"/>
          </w:tcPr>
          <w:p>
            <w:r/>
            <w:r>
              <w:rPr/>
              <w:t>Mar 2024</w:t>
            </w:r>
          </w:p>
        </w:tc>
        <w:tc>
          <w:tcPr>
            <w:tcW w:type="dxa" w:w="1440"/>
          </w:tcPr>
          <w:p>
            <w:r/>
            <w:r>
              <w:rPr/>
              <w:t>1,680</w:t>
            </w:r>
          </w:p>
        </w:tc>
        <w:tc>
          <w:tcPr>
            <w:tcW w:type="dxa" w:w="1440"/>
          </w:tcPr>
          <w:p>
            <w:r/>
            <w:r>
              <w:rPr/>
              <w:t>105</w:t>
            </w:r>
          </w:p>
        </w:tc>
        <w:tc>
          <w:tcPr>
            <w:tcW w:type="dxa" w:w="1440"/>
          </w:tcPr>
          <w:p>
            <w:r/>
            <w:r>
              <w:rPr/>
              <w:t>5</w:t>
            </w:r>
          </w:p>
        </w:tc>
      </w:tr>
      <w:tr>
        <w:tc>
          <w:tcPr>
            <w:tcW w:type="dxa" w:w="1440"/>
          </w:tcPr>
          <w:p>
            <w:r/>
            <w:r>
              <w:rPr/>
              <w:t>5</w:t>
            </w:r>
          </w:p>
        </w:tc>
        <w:tc>
          <w:tcPr>
            <w:tcW w:type="dxa" w:w="1440"/>
          </w:tcPr>
          <w:p>
            <w:r/>
            <w:r>
              <w:rPr/>
              <w:t>Banner Health</w:t>
            </w:r>
          </w:p>
        </w:tc>
        <w:tc>
          <w:tcPr>
            <w:tcW w:type="dxa" w:w="1440"/>
          </w:tcPr>
          <w:p>
            <w:r/>
            <w:r>
              <w:rPr/>
              <w:t>Jun 2024</w:t>
            </w:r>
          </w:p>
        </w:tc>
        <w:tc>
          <w:tcPr>
            <w:tcW w:type="dxa" w:w="1440"/>
          </w:tcPr>
          <w:p>
            <w:r/>
            <w:r>
              <w:rPr/>
              <w:t>1,490</w:t>
            </w:r>
          </w:p>
        </w:tc>
        <w:tc>
          <w:tcPr>
            <w:tcW w:type="dxa" w:w="1440"/>
          </w:tcPr>
          <w:p>
            <w:r/>
            <w:r>
              <w:rPr/>
              <w:t>92</w:t>
            </w:r>
          </w:p>
        </w:tc>
        <w:tc>
          <w:tcPr>
            <w:tcW w:type="dxa" w:w="1440"/>
          </w:tcPr>
          <w:p>
            <w:r/>
            <w:r>
              <w:rPr/>
              <w:t>4</w:t>
            </w:r>
          </w:p>
        </w:tc>
      </w:tr>
      <w:tr>
        <w:tc>
          <w:tcPr>
            <w:tcW w:type="dxa" w:w="1440"/>
          </w:tcPr>
          <w:p>
            <w:r/>
            <w:r>
              <w:rPr/>
              <w:t>6</w:t>
            </w:r>
          </w:p>
        </w:tc>
        <w:tc>
          <w:tcPr>
            <w:tcW w:type="dxa" w:w="1440"/>
          </w:tcPr>
          <w:p>
            <w:r/>
            <w:r>
              <w:rPr/>
              <w:t>Intermountain Health</w:t>
            </w:r>
          </w:p>
        </w:tc>
        <w:tc>
          <w:tcPr>
            <w:tcW w:type="dxa" w:w="1440"/>
          </w:tcPr>
          <w:p>
            <w:r/>
            <w:r>
              <w:rPr/>
              <w:t>Sep 2024</w:t>
            </w:r>
          </w:p>
        </w:tc>
        <w:tc>
          <w:tcPr>
            <w:tcW w:type="dxa" w:w="1440"/>
          </w:tcPr>
          <w:p>
            <w:r/>
            <w:r>
              <w:rPr/>
              <w:t>1,560</w:t>
            </w:r>
          </w:p>
        </w:tc>
        <w:tc>
          <w:tcPr>
            <w:tcW w:type="dxa" w:w="1440"/>
          </w:tcPr>
          <w:p>
            <w:r/>
            <w:r>
              <w:rPr/>
              <w:t>96</w:t>
            </w:r>
          </w:p>
        </w:tc>
        <w:tc>
          <w:tcPr>
            <w:tcW w:type="dxa" w:w="1440"/>
          </w:tcPr>
          <w:p>
            <w:r/>
            <w:r>
              <w:rPr/>
              <w:t>3</w:t>
            </w:r>
          </w:p>
        </w:tc>
      </w:tr>
      <w:tr>
        <w:tc>
          <w:tcPr>
            <w:tcW w:type="dxa" w:w="1440"/>
          </w:tcPr>
          <w:p>
            <w:r/>
            <w:r>
              <w:rPr/>
              <w:t>7</w:t>
            </w:r>
          </w:p>
        </w:tc>
        <w:tc>
          <w:tcPr>
            <w:tcW w:type="dxa" w:w="1440"/>
          </w:tcPr>
          <w:p>
            <w:r/>
            <w:r>
              <w:rPr/>
              <w:t>Henry Ford Health</w:t>
            </w:r>
          </w:p>
        </w:tc>
        <w:tc>
          <w:tcPr>
            <w:tcW w:type="dxa" w:w="1440"/>
          </w:tcPr>
          <w:p>
            <w:r/>
            <w:r>
              <w:rPr/>
              <w:t>Nov 2024</w:t>
            </w:r>
          </w:p>
        </w:tc>
        <w:tc>
          <w:tcPr>
            <w:tcW w:type="dxa" w:w="1440"/>
          </w:tcPr>
          <w:p>
            <w:r/>
            <w:r>
              <w:rPr/>
              <w:t>1,300</w:t>
            </w:r>
          </w:p>
        </w:tc>
        <w:tc>
          <w:tcPr>
            <w:tcW w:type="dxa" w:w="1440"/>
          </w:tcPr>
          <w:p>
            <w:r/>
            <w:r>
              <w:rPr/>
              <w:t>79</w:t>
            </w:r>
          </w:p>
        </w:tc>
        <w:tc>
          <w:tcPr>
            <w:tcW w:type="dxa" w:w="1440"/>
          </w:tcPr>
          <w:p>
            <w:r/>
            <w:r>
              <w:rPr/>
              <w:t>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  <w:r>
              <w:rPr>
                <w:b/>
              </w:rPr>
              <w:t>18,000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1,136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47</w:t>
            </w:r>
          </w:p>
        </w:tc>
      </w:tr>
    </w:tbl>
    <w:p>
      <w:r>
        <w:rPr/>
        <w:t>*"Newly diagnosed" means a patient with no prior amyloidosis diagnosis on chart at the time of EchoPilot flagging, who was subsequently confirmed positive via MRI, PYP, or biopsy.</w:t>
      </w:r>
    </w:p>
    <w:p>
      <w:pPr>
        <w:pStyle w:val="Heading1"/>
      </w:pPr>
      <w:r/>
      <w:r>
        <w:rPr/>
        <w:t>Headline Findings</w:t>
      </w:r>
    </w:p>
    <w:p>
      <w:pPr>
        <w:pStyle w:val="ListBullet"/>
      </w:pPr>
      <w:r>
        <w:rPr>
          <w:b/>
        </w:rPr>
        <w:t>18,000+ echos analyzed</w:t>
      </w:r>
      <w:r>
        <w:rPr/>
        <w:t xml:space="preserve"> across 7 health systems in the production environment</w:t>
      </w:r>
    </w:p>
    <w:p>
      <w:pPr>
        <w:pStyle w:val="ListBullet"/>
      </w:pPr>
      <w:r>
        <w:rPr>
          <w:b/>
        </w:rPr>
        <w:t>47 newly identified amyloidosis cases</w:t>
      </w:r>
      <w:r>
        <w:rPr/>
        <w:t xml:space="preserve"> that would not have been diagnosed (or would have been diagnosed materially later) under standard care</w:t>
      </w:r>
    </w:p>
    <w:p>
      <w:pPr>
        <w:pStyle w:val="ListBullet"/>
      </w:pPr>
      <w:r>
        <w:rPr>
          <w:b/>
        </w:rPr>
        <w:t>Median time from EchoPilot flag → confirmed diagnosis: 38 days</w:t>
      </w:r>
      <w:r>
        <w:rPr/>
        <w:t xml:space="preserve"> (IQR 21 – 64). This compares favorably to literature-reported pre-AI median time-to-diagnosis of &gt;2 years for ATTR amyloidosis.</w:t>
      </w:r>
    </w:p>
    <w:p>
      <w:pPr>
        <w:pStyle w:val="ListBullet"/>
      </w:pPr>
      <w:r>
        <w:rPr>
          <w:b/>
        </w:rPr>
        <w:t>Estimated time-to-diagnosis acceleration: 84 days</w:t>
      </w:r>
      <w:r>
        <w:rPr/>
        <w:t xml:space="preserve"> mean across the pilot cohort (consistent with the JACC retrospective substudy)</w:t>
      </w:r>
    </w:p>
    <w:p>
      <w:pPr>
        <w:pStyle w:val="Heading1"/>
      </w:pPr>
      <w:r/>
      <w:r>
        <w:rPr/>
        <w:t>Workflow Integration</w:t>
      </w:r>
    </w:p>
    <w:p>
      <w:r>
        <w:rPr/>
        <w:t>EchoPilot deploys via direct PACS integration (DICOM) and Epic / Cerner alerting:</w:t>
      </w:r>
    </w:p>
    <w:p>
      <w:pPr>
        <w:pStyle w:val="ListBullet"/>
      </w:pPr>
      <w:r>
        <w:rPr>
          <w:b/>
        </w:rPr>
        <w:t>Median latency from study acquisition to EchoPilot result:</w:t>
      </w:r>
      <w:r>
        <w:rPr/>
        <w:t xml:space="preserve"> 4.2 minutes</w:t>
      </w:r>
    </w:p>
    <w:p>
      <w:pPr>
        <w:pStyle w:val="ListBullet"/>
      </w:pPr>
      <w:r>
        <w:rPr>
          <w:b/>
        </w:rPr>
        <w:t>Cardiologist agreement with EchoPilot at adjudication:</w:t>
      </w:r>
      <w:r>
        <w:rPr/>
        <w:t xml:space="preserve"> 91.4% (true positives), 94.1% (true negatives)</w:t>
      </w:r>
    </w:p>
    <w:p>
      <w:pPr>
        <w:pStyle w:val="ListBullet"/>
      </w:pPr>
      <w:r>
        <w:rPr>
          <w:b/>
        </w:rPr>
        <w:t>Average cardiologist time spent reviewing flagged studies:</w:t>
      </w:r>
      <w:r>
        <w:rPr/>
        <w:t xml:space="preserve"> 7.8 minutes (a small overhead vs. unflagged routine read of ~5 minutes)</w:t>
      </w:r>
    </w:p>
    <w:p>
      <w:pPr>
        <w:pStyle w:val="Heading1"/>
      </w:pPr>
      <w:r/>
      <w:r>
        <w:rPr/>
        <w:t>Real-World Performance</w:t>
      </w:r>
    </w:p>
    <w:p>
      <w:r>
        <w:rPr/>
        <w:t>Performance in the pilot deployment period (limited by reference-standard availability for negatives) is consistent with the pivotal validation:</w:t>
      </w:r>
    </w:p>
    <w:p>
      <w:pPr>
        <w:pStyle w:val="ListBullet"/>
      </w:pPr>
      <w:r>
        <w:rPr/>
        <w:t>Sensitivity (estimated, by limited follow-up confirmation): ~89%</w:t>
      </w:r>
    </w:p>
    <w:p>
      <w:pPr>
        <w:pStyle w:val="ListBullet"/>
      </w:pPr>
      <w:r>
        <w:rPr/>
        <w:t>Specificity (estimated): ~88%</w:t>
      </w:r>
    </w:p>
    <w:p>
      <w:r>
        <w:rPr/>
        <w:t>A formal real-world performance manuscript is under preparation (target 2026 submission).</w:t>
      </w:r>
    </w:p>
    <w:p>
      <w:pPr>
        <w:pStyle w:val="Heading1"/>
      </w:pPr>
      <w:r/>
      <w:r>
        <w:rPr/>
        <w:t>Site Engagement</w:t>
      </w:r>
    </w:p>
    <w:p>
      <w:r>
        <w:rPr/>
        <w:t>All seven sites have either renewed their initial pilot terms or are in active renewal discussions:</w:t>
      </w:r>
    </w:p>
    <w:p>
      <w:pPr>
        <w:pStyle w:val="ListBullet"/>
      </w:pPr>
      <w:r>
        <w:rPr/>
        <w:t>4 sites converting from pilot to full enterprise license in 2026 (in negotiation)</w:t>
      </w:r>
    </w:p>
    <w:p>
      <w:pPr>
        <w:pStyle w:val="ListBullet"/>
      </w:pPr>
      <w:r>
        <w:rPr/>
        <w:t>2 sites mid-renewal at expanded scope (additional service lines)</w:t>
      </w:r>
    </w:p>
    <w:p>
      <w:pPr>
        <w:pStyle w:val="ListBullet"/>
      </w:pPr>
      <w:r>
        <w:rPr/>
        <w:t>1 site (Henry Ford) on initial term, decision Q3 2026</w:t>
      </w:r>
    </w:p>
    <w:p>
      <w:r>
        <w:rPr/>
        <w:t>Several pilot site PIs are co-authors on the JACC paper and co-presenters at AHA 2025 / ACC.26.</w:t>
      </w:r>
    </w:p>
    <w:p>
      <w:pPr>
        <w:pStyle w:val="Heading1"/>
      </w:pPr>
      <w:r/>
      <w:r>
        <w:rPr/>
        <w:t>Patient and Provider Experience</w:t>
      </w:r>
    </w:p>
    <w:p>
      <w:r>
        <w:rPr/>
        <w:t xml:space="preserve">Cardiologist NPS at pilot sites (n=42 respondents): </w:t>
      </w:r>
      <w:r>
        <w:rPr>
          <w:b/>
        </w:rPr>
        <w:t>+58</w:t>
      </w:r>
      <w:r>
        <w:rPr/>
        <w:t>. Top qualitative themes:</w:t>
      </w:r>
    </w:p>
    <w:p>
      <w:pPr>
        <w:pStyle w:val="ListBullet"/>
      </w:pPr>
      <w:r>
        <w:rPr/>
        <w:t>"Catches what I would miss" — preserved-EF cases especially called out</w:t>
      </w:r>
    </w:p>
    <w:p>
      <w:pPr>
        <w:pStyle w:val="ListBullet"/>
      </w:pPr>
      <w:r>
        <w:rPr/>
        <w:t>"Workflow doesn't slow me down" — PACS integration well-received</w:t>
      </w:r>
    </w:p>
    <w:p>
      <w:pPr>
        <w:pStyle w:val="ListBullet"/>
      </w:pPr>
      <w:r>
        <w:rPr/>
        <w:t>Concerns: confidence-gating threshold occasionally too aggressive in high-volume community sites; tunable per site since v3.1</w:t>
      </w:r>
    </w:p>
    <w:p>
      <w:pPr>
        <w:pStyle w:val="Heading1"/>
      </w:pPr>
      <w:r/>
      <w:r>
        <w:rPr/>
        <w:t>Adverse Events</w:t>
      </w:r>
    </w:p>
    <w:p>
      <w:r>
        <w:rPr/>
        <w:t xml:space="preserve">No adverse events have been reported. One voluntary MDR follow-up to the FDA in September 2024 (described in </w:t>
      </w:r>
      <w:r>
        <w:rPr>
          <w:rFonts w:ascii="Consolas" w:hAnsi="Consolas"/>
          <w:sz w:val="20"/>
        </w:rPr>
        <w:t>03-Regulatory/pre-submission-meetings.md</w:t>
      </w:r>
      <w:r>
        <w:rPr/>
        <w:t>) involved a single field event with no patient harm and no required action.</w:t>
      </w:r>
    </w:p>
    <w:p>
      <w:pPr>
        <w:pStyle w:val="Heading1"/>
      </w:pPr>
      <w:r/>
      <w:r>
        <w:rPr/>
        <w:t>Linked Artifacts</w:t>
      </w:r>
    </w:p>
    <w:p>
      <w:pPr>
        <w:pStyle w:val="ListBullet"/>
      </w:pPr>
      <w:r>
        <w:rPr/>
        <w:t>Full per-site cohort breakdowns and de-identified case-level data: Tier 3 only</w:t>
      </w:r>
    </w:p>
    <w:p>
      <w:pPr>
        <w:pStyle w:val="ListBullet"/>
      </w:pPr>
      <w:r>
        <w:rPr/>
        <w:t>Cardiologist NPS survey instrument and free-text responses: Tier 3</w:t>
      </w:r>
    </w:p>
    <w:p>
      <w:pPr>
        <w:pStyle w:val="ListBullet"/>
      </w:pPr>
      <w:r>
        <w:rPr/>
        <w:t>Pilot site MSAs: Tier 3 (</w:t>
      </w:r>
      <w:r>
        <w:rPr>
          <w:rFonts w:ascii="Consolas" w:hAnsi="Consolas"/>
          <w:sz w:val="20"/>
        </w:rPr>
        <w:t>01-Corporate/material-agreements-index.md</w:t>
      </w:r>
      <w:r>
        <w:rPr/>
        <w:t>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