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05 — CMC / Manufacturing</w:t>
      </w:r>
    </w:p>
    <w:p>
      <w:pPr>
        <w:pStyle w:val="IntenseQuote"/>
      </w:pPr>
      <w:r>
        <w:rPr>
          <w:i/>
        </w:rPr>
        <w:t xml:space="preserve">Sample folder. </w:t>
      </w:r>
      <w:r>
        <w:rPr>
          <w:b/>
          <w:i/>
        </w:rPr>
        <w:t>Note:</w:t>
      </w:r>
      <w:r>
        <w:rPr>
          <w:i/>
        </w:rPr>
        <w:t xml:space="preserve"> EchoPilot is software-only (SaMD). Traditional CMC and manufacturing concepts (drug substance, biologics process, device fabrication, lot release) </w:t>
      </w:r>
      <w:r>
        <w:rPr>
          <w:b/>
          <w:i/>
        </w:rPr>
        <w:t>do not apply</w:t>
      </w:r>
      <w:r>
        <w:rPr>
          <w:i/>
        </w:rPr>
        <w:t>. This folder contains the software analogues that perform the equivalent role under FDA's SaMD framework.</w:t>
      </w:r>
    </w:p>
    <w:p>
      <w:pPr>
        <w:pStyle w:val="Heading1"/>
      </w:pPr>
      <w:r/>
      <w:r>
        <w:rPr/>
        <w:t>What lives here</w:t>
      </w:r>
    </w:p>
    <w:p>
      <w:r>
        <w:rPr/>
        <w:t>For software-as-medical-device, the diligence-relevant equivalents of CMC are:</w:t>
      </w:r>
    </w:p>
    <w:p>
      <w:pPr>
        <w:pStyle w:val="ListBullet"/>
      </w:pPr>
      <w:r>
        <w:rPr>
          <w:b/>
        </w:rPr>
        <w:t>Software development lifecycle (SDLC)</w:t>
      </w:r>
      <w:r>
        <w:rPr/>
        <w:t xml:space="preserve"> — the discipline by which the device is designed, built, tested, and released</w:t>
      </w:r>
    </w:p>
    <w:p>
      <w:pPr>
        <w:pStyle w:val="ListBullet"/>
      </w:pPr>
      <w:r>
        <w:rPr>
          <w:b/>
        </w:rPr>
        <w:t>Cybersecurity</w:t>
      </w:r>
      <w:r>
        <w:rPr/>
        <w:t xml:space="preserve"> — premarket and post-market posture</w:t>
      </w:r>
    </w:p>
    <w:p>
      <w:pPr>
        <w:pStyle w:val="ListBullet"/>
      </w:pPr>
      <w:r>
        <w:rPr>
          <w:b/>
        </w:rPr>
        <w:t>Cloud infrastructure</w:t>
      </w:r>
      <w:r>
        <w:rPr/>
        <w:t xml:space="preserve"> — the deployment substrate, reliability, and data-protection guarantees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software-development-process.md</w:t>
      </w:r>
      <w:r>
        <w:rPr/>
        <w:t xml:space="preserve"> — IEC 62304 SDLC, version control, change management, cybersecurity</w:t>
      </w:r>
    </w:p>
    <w:p>
      <w:pPr>
        <w:pStyle w:val="ListBullet"/>
      </w:pPr>
      <w:r>
        <w:rPr>
          <w:rFonts w:ascii="Consolas" w:hAnsi="Consolas"/>
          <w:sz w:val="20"/>
        </w:rPr>
        <w:t>cloud-infrastructure.md</w:t>
      </w:r>
      <w:r>
        <w:rPr/>
        <w:t xml:space="preserve"> — AWS GovCloud, HIPAA, SOC 2, uptime, BAAs</w:t>
      </w:r>
    </w:p>
    <w:p>
      <w:pPr>
        <w:pStyle w:val="Heading1"/>
      </w:pPr>
      <w:r/>
      <w:r>
        <w:rPr/>
        <w:t>What is not here</w:t>
      </w:r>
    </w:p>
    <w:p>
      <w:pPr>
        <w:pStyle w:val="ListBullet"/>
      </w:pPr>
      <w:r>
        <w:rPr/>
        <w:t>No drug-substance / drug-product CMC</w:t>
      </w:r>
    </w:p>
    <w:p>
      <w:pPr>
        <w:pStyle w:val="ListBullet"/>
      </w:pPr>
      <w:r>
        <w:rPr/>
        <w:t>No medical-device hardware manufacturing</w:t>
      </w:r>
    </w:p>
    <w:p>
      <w:pPr>
        <w:pStyle w:val="ListBullet"/>
      </w:pPr>
      <w:r>
        <w:rPr/>
        <w:t>No supplier qualification for physical components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software-development-process.md |   | x | x | | cloud-infrastructure.md (summary) |   | x | x | | cloud-infrastructure.md (architecture detail) |   |   | x | | SOC 2 Type II report |   |   | x | | Penetration test reports |   |  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