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Cloud Infrastructure</w:t>
      </w:r>
    </w:p>
    <w:p>
      <w:pPr>
        <w:pStyle w:val="IntenseQuote"/>
      </w:pPr>
      <w:r>
        <w:rPr>
          <w:i/>
        </w:rPr>
        <w:t>Sample document. Describes the production deployment substrate.</w:t>
      </w:r>
    </w:p>
    <w:p>
      <w:pPr>
        <w:pStyle w:val="Heading1"/>
      </w:pPr>
      <w:r/>
      <w:r>
        <w:rPr/>
        <w:t>Hosting</w:t>
      </w:r>
    </w:p>
    <w:p>
      <w:r>
        <w:rPr/>
        <w:t xml:space="preserve">EchoPilot's production environment runs on </w:t>
      </w:r>
      <w:r>
        <w:rPr>
          <w:b/>
        </w:rPr>
        <w:t>AWS</w:t>
      </w:r>
      <w:r>
        <w:rPr/>
        <w:t xml:space="preserve"> with two distinct account perimeters:</w:t>
      </w:r>
    </w:p>
    <w:p>
      <w:pPr>
        <w:pStyle w:val="ListBullet"/>
      </w:pPr>
      <w:r>
        <w:rPr>
          <w:b/>
        </w:rPr>
        <w:t>Production (HIPAA-eligible commercial AWS regions)</w:t>
      </w:r>
      <w:r>
        <w:rPr/>
        <w:t xml:space="preserve"> — us-east-1 primary, us-west-2 secondary for DR. All hospital-facing PHI processing.</w:t>
      </w:r>
    </w:p>
    <w:p>
      <w:pPr>
        <w:pStyle w:val="ListBullet"/>
      </w:pPr>
      <w:r>
        <w:rPr>
          <w:b/>
        </w:rPr>
        <w:t>GovCloud-eligible perimeter (AWS GovCloud us-gov-west-1)</w:t>
      </w:r>
      <w:r>
        <w:rPr/>
        <w:t xml:space="preserve"> — provisioned but not yet active; designated for forthcoming VA / DoD pilots and any future federal-facility deployments.</w:t>
      </w:r>
    </w:p>
    <w:p>
      <w:r>
        <w:rPr/>
        <w:t>Account isolation is enforced via AWS Organizations with separate billing, IAM, and VPC perimeters. No VPC peering between production and lower environments.</w:t>
      </w:r>
    </w:p>
    <w:p>
      <w:pPr>
        <w:pStyle w:val="Heading1"/>
      </w:pPr>
      <w:r/>
      <w:r>
        <w:rPr/>
        <w:t>HIPAA / BAA Posture</w:t>
      </w:r>
    </w:p>
    <w:p>
      <w:pPr>
        <w:pStyle w:val="ListBullet"/>
      </w:pPr>
      <w:r>
        <w:rPr>
          <w:b/>
        </w:rPr>
        <w:t>AWS Business Associate Addendum (BAA)</w:t>
      </w:r>
      <w:r>
        <w:rPr/>
        <w:t xml:space="preserve"> executed; all in-scope services restricted to HIPAA-eligible service list</w:t>
      </w:r>
    </w:p>
    <w:p>
      <w:pPr>
        <w:pStyle w:val="ListBullet"/>
      </w:pPr>
      <w:r>
        <w:rPr>
          <w:b/>
        </w:rPr>
        <w:t>Customer BAAs</w:t>
      </w:r>
      <w:r>
        <w:rPr/>
        <w:t xml:space="preserve"> executed with each pilot health system (BAA attached to the MSA — see </w:t>
      </w:r>
      <w:r>
        <w:rPr>
          <w:rFonts w:ascii="Consolas" w:hAnsi="Consolas"/>
          <w:sz w:val="20"/>
        </w:rPr>
        <w:t>01-Corporate/material-agreements-index.md</w:t>
      </w:r>
      <w:r>
        <w:rPr/>
        <w:t>)</w:t>
      </w:r>
    </w:p>
    <w:p>
      <w:pPr>
        <w:pStyle w:val="ListBullet"/>
      </w:pPr>
      <w:r>
        <w:rPr>
          <w:b/>
        </w:rPr>
        <w:t>Subprocessor BAAs</w:t>
      </w:r>
      <w:r>
        <w:rPr/>
        <w:t xml:space="preserve"> executed with all vendors that may process PHI (Datadog for in-scope monitoring, etc.)</w:t>
      </w:r>
    </w:p>
    <w:p>
      <w:pPr>
        <w:pStyle w:val="Heading1"/>
      </w:pPr>
      <w:r/>
      <w:r>
        <w:rPr/>
        <w:t>Data Protection</w:t>
      </w:r>
    </w:p>
    <w:p>
      <w:pPr>
        <w:pStyle w:val="ListBullet"/>
      </w:pPr>
      <w:r>
        <w:rPr>
          <w:b/>
        </w:rPr>
        <w:t>At rest:</w:t>
      </w:r>
      <w:r>
        <w:rPr/>
        <w:t xml:space="preserve"> AWS KMS with customer-managed keys; separate keys per data domain (PHI, model artifacts, telemetry); key rotation enforced</w:t>
      </w:r>
    </w:p>
    <w:p>
      <w:pPr>
        <w:pStyle w:val="ListBullet"/>
      </w:pPr>
      <w:r>
        <w:rPr>
          <w:b/>
        </w:rPr>
        <w:t>In transit:</w:t>
      </w:r>
      <w:r>
        <w:rPr/>
        <w:t xml:space="preserve"> TLS 1.2+ enforced; mutual TLS for service-to-service within the VPC mesh</w:t>
      </w:r>
    </w:p>
    <w:p>
      <w:pPr>
        <w:pStyle w:val="ListBullet"/>
      </w:pPr>
      <w:r>
        <w:rPr>
          <w:b/>
        </w:rPr>
        <w:t>Tokenization:</w:t>
      </w:r>
      <w:r>
        <w:rPr/>
        <w:t xml:space="preserve"> PHI tokenized at ingress; analyses run on tokenized records; PHI rejoined only at the cardiologist UI under access control</w:t>
      </w:r>
    </w:p>
    <w:p>
      <w:pPr>
        <w:pStyle w:val="ListBullet"/>
      </w:pPr>
      <w:r>
        <w:rPr>
          <w:b/>
        </w:rPr>
        <w:t>De-identification:</w:t>
      </w:r>
      <w:r>
        <w:rPr/>
        <w:t xml:space="preserve"> for any data movement outside the production perimeter (e.g., research datasets), Safe Harbor de-identification is applied and verified</w:t>
      </w:r>
    </w:p>
    <w:p>
      <w:pPr>
        <w:pStyle w:val="Heading1"/>
      </w:pPr>
      <w:r/>
      <w:r>
        <w:rPr/>
        <w:t>Compliance Certifications</w:t>
      </w:r>
    </w:p>
    <w:p>
      <w:pPr>
        <w:pStyle w:val="ListBullet"/>
      </w:pPr>
      <w:r>
        <w:rPr>
          <w:b/>
        </w:rPr>
        <w:t>SOC 2 Type II</w:t>
      </w:r>
      <w:r>
        <w:rPr/>
        <w:t xml:space="preserve"> — most recent report covers Aug 2024 – Jul 2025; auditor: A-LIGN. Trust Services Categories: Security, Availability, Confidentiality. Clean opinion. Tier 3 investors may review the full report under NDA.</w:t>
      </w:r>
    </w:p>
    <w:p>
      <w:pPr>
        <w:pStyle w:val="ListBullet"/>
      </w:pPr>
      <w:r>
        <w:rPr>
          <w:b/>
        </w:rPr>
        <w:t>HITRUST</w:t>
      </w:r>
      <w:r>
        <w:rPr/>
        <w:t xml:space="preserve"> — readiness assessment complete (Q4 2025); full certification targeted Q3 FY26</w:t>
      </w:r>
    </w:p>
    <w:p>
      <w:pPr>
        <w:pStyle w:val="ListBullet"/>
      </w:pPr>
      <w:r>
        <w:rPr>
          <w:b/>
        </w:rPr>
        <w:t>ISO/IEC 27001</w:t>
      </w:r>
      <w:r>
        <w:rPr/>
        <w:t xml:space="preserve"> — in-scope of current audit; certification targeted Q4 FY26</w:t>
      </w:r>
    </w:p>
    <w:p>
      <w:pPr>
        <w:pStyle w:val="ListBullet"/>
      </w:pPr>
      <w:r>
        <w:rPr>
          <w:b/>
        </w:rPr>
        <w:t>HDS (Hébergeur de Données de Santé)</w:t>
      </w:r>
      <w:r>
        <w:rPr/>
        <w:t xml:space="preserve"> — France-specific hosting cert; deferred until EU launch</w:t>
      </w:r>
    </w:p>
    <w:p>
      <w:pPr>
        <w:pStyle w:val="Heading1"/>
      </w:pPr>
      <w:r/>
      <w:r>
        <w:rPr/>
        <w:t>Reliability</w:t>
      </w:r>
    </w:p>
    <w:p>
      <w:pPr>
        <w:pStyle w:val="ListBullet"/>
      </w:pPr>
      <w:r>
        <w:rPr>
          <w:b/>
        </w:rPr>
        <w:t>Uptime SLA:</w:t>
      </w:r>
      <w:r>
        <w:rPr/>
        <w:t xml:space="preserve"> 99.9% (commercial pilot tier); 99.95% (enterprise tier in proposed Series-A-funded uplift)</w:t>
      </w:r>
    </w:p>
    <w:p>
      <w:pPr>
        <w:pStyle w:val="ListBullet"/>
      </w:pPr>
      <w:r>
        <w:rPr>
          <w:b/>
        </w:rPr>
        <w:t>Production uptime trailing 12 months:</w:t>
      </w:r>
      <w:r>
        <w:rPr/>
        <w:t xml:space="preserve"> 99.94%</w:t>
      </w:r>
    </w:p>
    <w:p>
      <w:pPr>
        <w:pStyle w:val="ListBullet"/>
      </w:pPr>
      <w:r>
        <w:rPr>
          <w:b/>
        </w:rPr>
        <w:t>RPO / RTO:</w:t>
      </w:r>
      <w:r>
        <w:rPr/>
        <w:t xml:space="preserve"> RPO 15 minutes, RTO 4 hours (production); validated quarterly via DR exercise</w:t>
      </w:r>
    </w:p>
    <w:p>
      <w:pPr>
        <w:pStyle w:val="Heading1"/>
      </w:pPr>
      <w:r/>
      <w:r>
        <w:rPr/>
        <w:t>Architecture (high level)</w:t>
      </w:r>
    </w:p>
    <w:p>
      <w:r>
        <w:rPr/>
        <w:t>The production architecture comprises:</w:t>
      </w:r>
    </w:p>
    <w:p>
      <w:pPr>
        <w:pStyle w:val="ListNumber"/>
      </w:pPr>
      <w:r>
        <w:rPr>
          <w:b/>
        </w:rPr>
        <w:t>DICOM ingress gateway</w:t>
      </w:r>
      <w:r>
        <w:rPr/>
        <w:t xml:space="preserve"> — receives studies via DIMSE or DICOMweb from hospital PACS; authenticates and decrypts in a quarantined VPC subnet</w:t>
      </w:r>
    </w:p>
    <w:p>
      <w:pPr>
        <w:pStyle w:val="ListNumber"/>
      </w:pPr>
      <w:r>
        <w:rPr>
          <w:b/>
        </w:rPr>
        <w:t>Tokenization service</w:t>
      </w:r>
      <w:r>
        <w:rPr/>
        <w:t xml:space="preserve"> — strips PHI to a tokenized internal identifier; PHI placed in a write-only HIPAA-scoped store</w:t>
      </w:r>
    </w:p>
    <w:p>
      <w:pPr>
        <w:pStyle w:val="ListNumber"/>
      </w:pPr>
      <w:r>
        <w:rPr>
          <w:b/>
        </w:rPr>
        <w:t>Inference fleet</w:t>
      </w:r>
      <w:r>
        <w:rPr/>
        <w:t xml:space="preserve"> — GPU autoscaling group running the model server; stateless; signed model binaries pulled from artifact registry at warm start</w:t>
      </w:r>
    </w:p>
    <w:p>
      <w:pPr>
        <w:pStyle w:val="ListNumber"/>
      </w:pPr>
      <w:r>
        <w:rPr>
          <w:b/>
        </w:rPr>
        <w:t>Result store</w:t>
      </w:r>
      <w:r>
        <w:rPr/>
        <w:t xml:space="preserve"> — write-once result records with cryptographic linkage to study UID</w:t>
      </w:r>
    </w:p>
    <w:p>
      <w:pPr>
        <w:pStyle w:val="ListNumber"/>
      </w:pPr>
      <w:r>
        <w:rPr>
          <w:b/>
        </w:rPr>
        <w:t>Clinician UI</w:t>
      </w:r>
      <w:r>
        <w:rPr/>
        <w:t xml:space="preserve"> — Epic-embedded SMART-on-FHIR app and standalone web app; PHI rejoined at presentation under per-user access control</w:t>
      </w:r>
    </w:p>
    <w:p>
      <w:pPr>
        <w:pStyle w:val="ListNumber"/>
      </w:pPr>
      <w:r>
        <w:rPr>
          <w:b/>
        </w:rPr>
        <w:t>Observability</w:t>
      </w:r>
      <w:r>
        <w:rPr/>
        <w:t xml:space="preserve"> — Datadog (in-scope BAA), structured logs, distributed tracing; PHI scrubbing at the SDK layer</w:t>
      </w:r>
    </w:p>
    <w:p>
      <w:r>
        <w:rPr/>
        <w:t>A detailed architecture diagram and component-level documentation are released to Tier 3.</w:t>
      </w:r>
    </w:p>
    <w:p>
      <w:pPr>
        <w:pStyle w:val="Heading1"/>
      </w:pPr>
      <w:r/>
      <w:r>
        <w:rPr/>
        <w:t>Operational Discipline</w:t>
      </w:r>
    </w:p>
    <w:p>
      <w:pPr>
        <w:pStyle w:val="ListBullet"/>
      </w:pPr>
      <w:r>
        <w:rPr>
          <w:b/>
        </w:rPr>
        <w:t>On-call:</w:t>
      </w:r>
      <w:r>
        <w:rPr/>
        <w:t xml:space="preserve"> 24/7 follow-the-sun rotation across SRE and platform engineers</w:t>
      </w:r>
    </w:p>
    <w:p>
      <w:pPr>
        <w:pStyle w:val="ListBullet"/>
      </w:pPr>
      <w:r>
        <w:rPr>
          <w:b/>
        </w:rPr>
        <w:t>Change management:</w:t>
      </w:r>
      <w:r>
        <w:rPr/>
        <w:t xml:space="preserve"> all production changes via PR + automated deployment; emergency-change runbook with post-mortem requirement</w:t>
      </w:r>
    </w:p>
    <w:p>
      <w:pPr>
        <w:pStyle w:val="ListBullet"/>
      </w:pPr>
      <w:r>
        <w:rPr>
          <w:b/>
        </w:rPr>
        <w:t>Incident response:</w:t>
      </w:r>
      <w:r>
        <w:rPr/>
        <w:t xml:space="preserve"> documented runbook; post-incident review for every Sev 1/2; quarterly tabletop exercises</w:t>
      </w:r>
    </w:p>
    <w:p>
      <w:pPr>
        <w:pStyle w:val="ListBullet"/>
      </w:pPr>
      <w:r>
        <w:rPr>
          <w:b/>
        </w:rPr>
        <w:t>Backup:</w:t>
      </w:r>
      <w:r>
        <w:rPr/>
        <w:t xml:space="preserve"> continuous replication to secondary region; backup-restore tested monthly</w:t>
      </w:r>
    </w:p>
    <w:p>
      <w:pPr>
        <w:pStyle w:val="Heading1"/>
      </w:pPr>
      <w:r/>
      <w:r>
        <w:rPr/>
        <w:t>Key Risks and Mitigations</w:t>
      </w:r>
    </w:p>
    <w:p>
      <w:pPr>
        <w:pStyle w:val="ListBullet"/>
      </w:pPr>
      <w:r>
        <w:rPr>
          <w:b/>
        </w:rPr>
        <w:t>Single-cloud concentration</w:t>
      </w:r>
      <w:r>
        <w:rPr/>
        <w:t xml:space="preserve"> — mitigated by GovCloud-second-perimeter optionality and abstraction-layer design that would allow Azure Government posture if required for federal customers</w:t>
      </w:r>
    </w:p>
    <w:p>
      <w:pPr>
        <w:pStyle w:val="ListBullet"/>
      </w:pPr>
      <w:r>
        <w:rPr>
          <w:b/>
        </w:rPr>
        <w:t>Regional outage</w:t>
      </w:r>
      <w:r>
        <w:rPr/>
        <w:t xml:space="preserve"> — addressed via active-passive multi-region deployment</w:t>
      </w:r>
    </w:p>
    <w:p>
      <w:pPr>
        <w:pStyle w:val="ListBullet"/>
      </w:pPr>
      <w:r>
        <w:rPr>
          <w:b/>
        </w:rPr>
        <w:t>Subprocessor failure</w:t>
      </w:r>
      <w:r>
        <w:rPr/>
        <w:t xml:space="preserve"> — Datadog and other subprocessors have parallel observability paths</w:t>
      </w:r>
    </w:p>
    <w:p>
      <w:pPr>
        <w:pStyle w:val="Heading1"/>
      </w:pPr>
      <w:r/>
      <w:r>
        <w:rPr/>
        <w:t>Summary for Investors</w:t>
      </w:r>
    </w:p>
    <w:p>
      <w:r>
        <w:rPr/>
        <w:t>The production deployment is enterprise-grade and aligns with health-system procurement requirements (BAA, SOC 2 Type II, documented uptime). Series A capital is partly allocated to HITRUST and ISO 27001 certifications to expand the addressable enterprise customer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