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Software Development Process</w:t>
      </w:r>
    </w:p>
    <w:p>
      <w:pPr>
        <w:pStyle w:val="IntenseQuote"/>
      </w:pPr>
      <w:r>
        <w:rPr>
          <w:i/>
        </w:rPr>
        <w:t>Sample document. Describes HealthCo's SDLC and software-quality framework as it applies to EchoPilot.</w:t>
      </w:r>
    </w:p>
    <w:p>
      <w:r>
        <w:rPr/>
        <w:t xml:space="preserve">EchoPilot is a Class II medical device classified as </w:t>
      </w:r>
      <w:r>
        <w:rPr>
          <w:b/>
        </w:rPr>
        <w:t>SaMD</w:t>
      </w:r>
      <w:r>
        <w:rPr/>
        <w:t>. HealthCo's software development process is structured to satisfy:</w:t>
      </w:r>
    </w:p>
    <w:p>
      <w:pPr>
        <w:pStyle w:val="ListBullet"/>
      </w:pPr>
      <w:r>
        <w:rPr>
          <w:b/>
        </w:rPr>
        <w:t>IEC 62304:2006/AMD1:2015</w:t>
      </w:r>
      <w:r>
        <w:rPr/>
        <w:t xml:space="preserve"> — software lifecycle for medical device software (Class B)</w:t>
      </w:r>
    </w:p>
    <w:p>
      <w:pPr>
        <w:pStyle w:val="ListBullet"/>
      </w:pPr>
      <w:r>
        <w:rPr>
          <w:b/>
        </w:rPr>
        <w:t>ISO 13485:2016</w:t>
      </w:r>
      <w:r>
        <w:rPr/>
        <w:t xml:space="preserve"> — quality management for medical devices</w:t>
      </w:r>
    </w:p>
    <w:p>
      <w:pPr>
        <w:pStyle w:val="ListBullet"/>
      </w:pPr>
      <w:r>
        <w:rPr>
          <w:b/>
        </w:rPr>
        <w:t>ISO 14971:2019</w:t>
      </w:r>
      <w:r>
        <w:rPr/>
        <w:t xml:space="preserve"> — risk management</w:t>
      </w:r>
    </w:p>
    <w:p>
      <w:pPr>
        <w:pStyle w:val="ListBullet"/>
      </w:pPr>
      <w:r>
        <w:rPr>
          <w:b/>
        </w:rPr>
        <w:t>IEC 62366-1:2015</w:t>
      </w:r>
      <w:r>
        <w:rPr/>
        <w:t xml:space="preserve"> — usability engineering</w:t>
      </w:r>
    </w:p>
    <w:p>
      <w:pPr>
        <w:pStyle w:val="ListBullet"/>
      </w:pPr>
      <w:r>
        <w:rPr>
          <w:b/>
        </w:rPr>
        <w:t>FDA 2023 Premarket Cybersecurity Guidance</w:t>
      </w:r>
    </w:p>
    <w:p>
      <w:pPr>
        <w:pStyle w:val="ListBullet"/>
      </w:pPr>
      <w:r>
        <w:rPr>
          <w:b/>
        </w:rPr>
        <w:t>FDA Good Machine Learning Practice (GMLP) Guiding Principles</w:t>
      </w:r>
    </w:p>
    <w:p>
      <w:pPr>
        <w:pStyle w:val="Heading1"/>
      </w:pPr>
      <w:r/>
      <w:r>
        <w:rPr/>
        <w:t>SDLC Overview</w:t>
      </w:r>
    </w:p>
    <w:p>
      <w:r>
        <w:rPr/>
        <w:t>Development follows a documented lifecycle with controlled phases and gated exits:</w:t>
      </w:r>
    </w:p>
    <w:p>
      <w:pPr>
        <w:pStyle w:val="ListNumber"/>
      </w:pPr>
      <w:r>
        <w:rPr>
          <w:b/>
        </w:rPr>
        <w:t>Concept and risk classification</w:t>
      </w:r>
      <w:r>
        <w:rPr/>
        <w:t xml:space="preserve"> — feature scoped against intended use; safety classification confirmed (Class B)</w:t>
      </w:r>
    </w:p>
    <w:p>
      <w:pPr>
        <w:pStyle w:val="ListNumber"/>
      </w:pPr>
      <w:r>
        <w:rPr>
          <w:b/>
        </w:rPr>
        <w:t>Software requirements</w:t>
      </w:r>
      <w:r>
        <w:rPr/>
        <w:t xml:space="preserve"> — requirements traced from clinical user needs through verification</w:t>
      </w:r>
    </w:p>
    <w:p>
      <w:pPr>
        <w:pStyle w:val="ListNumber"/>
      </w:pPr>
      <w:r>
        <w:rPr>
          <w:b/>
        </w:rPr>
        <w:t>Architectural design</w:t>
      </w:r>
      <w:r>
        <w:rPr/>
        <w:t xml:space="preserve"> — module-level design, interface contracts, security architecture</w:t>
      </w:r>
    </w:p>
    <w:p>
      <w:pPr>
        <w:pStyle w:val="ListNumber"/>
      </w:pPr>
      <w:r>
        <w:rPr>
          <w:b/>
        </w:rPr>
        <w:t>Detailed design and implementation</w:t>
      </w:r>
      <w:r>
        <w:rPr/>
        <w:t xml:space="preserve"> — coding standards, peer review on every PR</w:t>
      </w:r>
    </w:p>
    <w:p>
      <w:pPr>
        <w:pStyle w:val="ListNumber"/>
      </w:pPr>
      <w:r>
        <w:rPr>
          <w:b/>
        </w:rPr>
        <w:t>Verification</w:t>
      </w:r>
      <w:r>
        <w:rPr/>
        <w:t xml:space="preserve"> — unit, integration, system, and analytical performance testing</w:t>
      </w:r>
    </w:p>
    <w:p>
      <w:pPr>
        <w:pStyle w:val="ListNumber"/>
      </w:pPr>
      <w:r>
        <w:rPr>
          <w:b/>
        </w:rPr>
        <w:t>Validation</w:t>
      </w:r>
      <w:r>
        <w:rPr/>
        <w:t xml:space="preserve"> — usability, clinical performance, real-world workflow validation</w:t>
      </w:r>
    </w:p>
    <w:p>
      <w:pPr>
        <w:pStyle w:val="ListNumber"/>
      </w:pPr>
      <w:r>
        <w:rPr>
          <w:b/>
        </w:rPr>
        <w:t>Release</w:t>
      </w:r>
      <w:r>
        <w:rPr/>
        <w:t xml:space="preserve"> — controlled release with signed artifacts, version-locked dependencies, and a release record</w:t>
      </w:r>
    </w:p>
    <w:p>
      <w:pPr>
        <w:pStyle w:val="ListNumber"/>
      </w:pPr>
      <w:r>
        <w:rPr>
          <w:b/>
        </w:rPr>
        <w:t>Post-market surveillance</w:t>
      </w:r>
      <w:r>
        <w:rPr/>
        <w:t xml:space="preserve"> — field-monitoring dashboard, periodic safety updates</w:t>
      </w:r>
    </w:p>
    <w:p>
      <w:r>
        <w:rPr/>
        <w:t xml:space="preserve">Every requirement, design element, test, and risk control is traced through a </w:t>
      </w:r>
      <w:r>
        <w:rPr>
          <w:b/>
        </w:rPr>
        <w:t>Requirements Traceability Matrix (RTM)</w:t>
      </w:r>
      <w:r>
        <w:rPr/>
        <w:t xml:space="preserve"> maintained in Jama Connect.</w:t>
      </w:r>
    </w:p>
    <w:p>
      <w:pPr>
        <w:pStyle w:val="Heading1"/>
      </w:pPr>
      <w:r/>
      <w:r>
        <w:rPr/>
        <w:t>Version Control</w:t>
      </w:r>
    </w:p>
    <w:p>
      <w:pPr>
        <w:pStyle w:val="ListBullet"/>
      </w:pPr>
      <w:r>
        <w:rPr>
          <w:b/>
        </w:rPr>
        <w:t>Source code</w:t>
      </w:r>
      <w:r>
        <w:rPr/>
        <w:t xml:space="preserve"> — GitHub Enterprise Cloud, organization-scoped, branch protection on </w:t>
      </w:r>
      <w:r>
        <w:rPr>
          <w:rFonts w:ascii="Consolas" w:hAnsi="Consolas"/>
          <w:sz w:val="20"/>
        </w:rPr>
        <w:t>main</w:t>
      </w:r>
    </w:p>
    <w:p>
      <w:pPr>
        <w:pStyle w:val="ListBullet"/>
      </w:pPr>
      <w:r>
        <w:rPr>
          <w:b/>
        </w:rPr>
        <w:t>Mandatory reviewers</w:t>
      </w:r>
      <w:r>
        <w:rPr/>
        <w:t xml:space="preserve"> — every PR requires (a) code review by a non-author engineer and (b) for safety-relevant code, additional review by a designated regulatory-aware engineer</w:t>
      </w:r>
    </w:p>
    <w:p>
      <w:pPr>
        <w:pStyle w:val="ListBullet"/>
      </w:pPr>
      <w:r>
        <w:rPr>
          <w:b/>
        </w:rPr>
        <w:t>Signed commits</w:t>
      </w:r>
      <w:r>
        <w:rPr/>
        <w:t xml:space="preserve"> — required on </w:t>
      </w:r>
      <w:r>
        <w:rPr>
          <w:rFonts w:ascii="Consolas" w:hAnsi="Consolas"/>
          <w:sz w:val="20"/>
        </w:rPr>
        <w:t>main</w:t>
      </w:r>
      <w:r>
        <w:rPr/>
        <w:t xml:space="preserve"> and release branches</w:t>
      </w:r>
    </w:p>
    <w:p>
      <w:pPr>
        <w:pStyle w:val="ListBullet"/>
      </w:pPr>
      <w:r>
        <w:rPr>
          <w:b/>
        </w:rPr>
        <w:t>Immutable releases</w:t>
      </w:r>
      <w:r>
        <w:rPr/>
        <w:t xml:space="preserve"> — release artifacts (model weights, container images) are content-addressed and signed with Sigstore; the release record references the exact artifact digest</w:t>
      </w:r>
    </w:p>
    <w:p>
      <w:pPr>
        <w:pStyle w:val="Heading1"/>
      </w:pPr>
      <w:r/>
      <w:r>
        <w:rPr/>
        <w:t>Change Management</w:t>
      </w:r>
    </w:p>
    <w:p>
      <w:r>
        <w:rPr/>
        <w:t>Changes are categorized at design-time:</w:t>
      </w:r>
    </w:p>
    <w:p>
      <w:pPr>
        <w:pStyle w:val="ListBullet"/>
      </w:pPr>
      <w:r>
        <w:rPr>
          <w:b/>
        </w:rPr>
        <w:t>Maintenance change</w:t>
      </w:r>
      <w:r>
        <w:rPr/>
        <w:t xml:space="preserve"> (e.g., dependency patch) — letter-to-file under cybersecurity update workflow if security-relevant</w:t>
      </w:r>
    </w:p>
    <w:p>
      <w:pPr>
        <w:pStyle w:val="ListBullet"/>
      </w:pPr>
      <w:r>
        <w:rPr>
          <w:b/>
        </w:rPr>
        <w:t>Within-PCCP change</w:t>
      </w:r>
      <w:r>
        <w:rPr/>
        <w:t xml:space="preserve"> (post De Novo clearance) — handled per the Predetermined Change Control Plan</w:t>
      </w:r>
    </w:p>
    <w:p>
      <w:pPr>
        <w:pStyle w:val="ListBullet"/>
      </w:pPr>
      <w:r>
        <w:rPr>
          <w:b/>
        </w:rPr>
        <w:t>Outside-PCCP change</w:t>
      </w:r>
      <w:r>
        <w:rPr/>
        <w:t xml:space="preserve"> — triggers either a 510(k) supplement or a new submission</w:t>
      </w:r>
    </w:p>
    <w:p>
      <w:r>
        <w:rPr/>
        <w:t xml:space="preserve">A cross-functional </w:t>
      </w:r>
      <w:r>
        <w:rPr>
          <w:b/>
        </w:rPr>
        <w:t>Change Control Board</w:t>
      </w:r>
      <w:r>
        <w:rPr/>
        <w:t xml:space="preserve"> (CTO, VP Reg/Quality, VP Clinical) reviews every change with potential safety or performance impact before merge.</w:t>
      </w:r>
    </w:p>
    <w:p>
      <w:pPr>
        <w:pStyle w:val="Heading1"/>
      </w:pPr>
      <w:r/>
      <w:r>
        <w:rPr/>
        <w:t>Verification and Validation</w:t>
      </w:r>
    </w:p>
    <w:p>
      <w:pPr>
        <w:pStyle w:val="ListBullet"/>
      </w:pPr>
      <w:r>
        <w:rPr>
          <w:b/>
        </w:rPr>
        <w:t>Unit tests</w:t>
      </w:r>
      <w:r>
        <w:rPr/>
        <w:t xml:space="preserve"> — coverage gates enforced (&gt;85% statement coverage on safety-classified modules)</w:t>
      </w:r>
    </w:p>
    <w:p>
      <w:pPr>
        <w:pStyle w:val="ListBullet"/>
      </w:pPr>
      <w:r>
        <w:rPr>
          <w:b/>
        </w:rPr>
        <w:t>Integration tests</w:t>
      </w:r>
      <w:r>
        <w:rPr/>
        <w:t xml:space="preserve"> — automated against simulated DICOM workflows</w:t>
      </w:r>
    </w:p>
    <w:p>
      <w:pPr>
        <w:pStyle w:val="ListBullet"/>
      </w:pPr>
      <w:r>
        <w:rPr>
          <w:b/>
        </w:rPr>
        <w:t>System tests</w:t>
      </w:r>
      <w:r>
        <w:rPr/>
        <w:t xml:space="preserve"> — end-to-end on representative echo studies, executed pre-release</w:t>
      </w:r>
    </w:p>
    <w:p>
      <w:pPr>
        <w:pStyle w:val="ListBullet"/>
      </w:pPr>
      <w:r>
        <w:rPr>
          <w:b/>
        </w:rPr>
        <w:t>Analytical performance test</w:t>
      </w:r>
      <w:r>
        <w:rPr/>
        <w:t xml:space="preserve"> — sequestered test set, run on every model release; performance versus locked acceptance criteria</w:t>
      </w:r>
    </w:p>
    <w:p>
      <w:pPr>
        <w:pStyle w:val="ListBullet"/>
      </w:pPr>
      <w:r>
        <w:rPr>
          <w:b/>
        </w:rPr>
        <w:t>Cybersecurity test</w:t>
      </w:r>
      <w:r>
        <w:rPr/>
        <w:t xml:space="preserve"> — SAST in CI, DAST quarterly, third-party penetration test annually (most recent: November 2025, by NCC Group; remediation to clean within agreed SLAs)</w:t>
      </w:r>
    </w:p>
    <w:p>
      <w:pPr>
        <w:pStyle w:val="Heading1"/>
      </w:pPr>
      <w:r/>
      <w:r>
        <w:rPr/>
        <w:t>Risk Management</w:t>
      </w:r>
    </w:p>
    <w:p>
      <w:r>
        <w:rPr/>
        <w:t>ISO 14971 risk file is a living document. Every identified hazard is decomposed to hazardous situations and harms, with risk controls, residual-risk justification, and verification of each control. The risk file is reviewed at every release and at the quarterly Quality Management Review.</w:t>
      </w:r>
    </w:p>
    <w:p>
      <w:pPr>
        <w:pStyle w:val="Heading1"/>
      </w:pPr>
      <w:r/>
      <w:r>
        <w:rPr/>
        <w:t>Coding Standards and Tooling</w:t>
      </w:r>
    </w:p>
    <w:p>
      <w:pPr>
        <w:pStyle w:val="ListBullet"/>
      </w:pPr>
      <w:r>
        <w:rPr>
          <w:b/>
        </w:rPr>
        <w:t>Languages:</w:t>
      </w:r>
      <w:r>
        <w:rPr/>
        <w:t xml:space="preserve"> Python (model serving and orchestration), TypeScript (clinician-facing UI), CUDA (GPU kernels for inference)</w:t>
      </w:r>
    </w:p>
    <w:p>
      <w:pPr>
        <w:pStyle w:val="ListBullet"/>
      </w:pPr>
      <w:r>
        <w:rPr>
          <w:b/>
        </w:rPr>
        <w:t>Static analysis:</w:t>
      </w:r>
      <w:r>
        <w:rPr/>
        <w:t xml:space="preserve"> Ruff, mypy, eslint, semgrep</w:t>
      </w:r>
    </w:p>
    <w:p>
      <w:pPr>
        <w:pStyle w:val="ListBullet"/>
      </w:pPr>
      <w:r>
        <w:rPr>
          <w:b/>
        </w:rPr>
        <w:t>Dependencies:</w:t>
      </w:r>
      <w:r>
        <w:rPr/>
        <w:t xml:space="preserve"> SBOM generated per release (Syft); vulnerability scanning (Grype) in CI; license-compliance check</w:t>
      </w:r>
    </w:p>
    <w:p>
      <w:pPr>
        <w:pStyle w:val="ListBullet"/>
      </w:pPr>
      <w:r>
        <w:rPr>
          <w:b/>
        </w:rPr>
        <w:t>Reproducibility:</w:t>
      </w:r>
      <w:r>
        <w:rPr/>
        <w:t xml:space="preserve"> training runs containerized; data lineage tracked end-to-end via Pachyderm-style hashing</w:t>
      </w:r>
    </w:p>
    <w:p>
      <w:pPr>
        <w:pStyle w:val="Heading1"/>
      </w:pPr>
      <w:r/>
      <w:r>
        <w:rPr/>
        <w:t>Cybersecurity</w:t>
      </w:r>
    </w:p>
    <w:p>
      <w:pPr>
        <w:pStyle w:val="ListBullet"/>
      </w:pPr>
      <w:r>
        <w:rPr/>
        <w:t>Threat modeling per release (STRIDE-based)</w:t>
      </w:r>
    </w:p>
    <w:p>
      <w:pPr>
        <w:pStyle w:val="ListBullet"/>
      </w:pPr>
      <w:r>
        <w:rPr/>
        <w:t>Secure-by-default architecture: zero plaintext PHI at rest, least-privilege IAM, mutual TLS for service-to-service</w:t>
      </w:r>
    </w:p>
    <w:p>
      <w:pPr>
        <w:pStyle w:val="ListBullet"/>
      </w:pPr>
      <w:r>
        <w:rPr/>
        <w:t>Annual third-party penetration test (NCC Group)</w:t>
      </w:r>
    </w:p>
    <w:p>
      <w:pPr>
        <w:pStyle w:val="ListBullet"/>
      </w:pPr>
      <w:r>
        <w:rPr/>
        <w:t>Vulnerability disclosure program (</w:t>
      </w:r>
      <w:r>
        <w:rPr>
          <w:rFonts w:ascii="Consolas" w:hAnsi="Consolas"/>
          <w:sz w:val="20"/>
        </w:rPr>
        <w:t>security@healthco.example</w:t>
      </w:r>
      <w:r>
        <w:rPr/>
        <w:t>)</w:t>
      </w:r>
    </w:p>
    <w:p>
      <w:pPr>
        <w:pStyle w:val="ListBullet"/>
      </w:pPr>
      <w:r>
        <w:rPr/>
        <w:t>Incident response runbook tested twice yearly</w:t>
      </w:r>
    </w:p>
    <w:p>
      <w:pPr>
        <w:pStyle w:val="Heading1"/>
      </w:pPr>
      <w:r/>
      <w:r>
        <w:rPr/>
        <w:t>Audit History</w:t>
      </w:r>
    </w:p>
    <w:p>
      <w:pPr>
        <w:pStyle w:val="ListBullet"/>
      </w:pPr>
      <w:r>
        <w:rPr/>
        <w:t>ISO 13485 certification audit, April 2024 — passed</w:t>
      </w:r>
    </w:p>
    <w:p>
      <w:pPr>
        <w:pStyle w:val="ListBullet"/>
      </w:pPr>
      <w:r>
        <w:rPr/>
        <w:t>ISO 13485 surveillance audit, November 2025 — no nonconformances</w:t>
      </w:r>
    </w:p>
    <w:p>
      <w:pPr>
        <w:pStyle w:val="ListBullet"/>
      </w:pPr>
      <w:r>
        <w:rPr/>
        <w:t>Internal QMS audit, monthly per documented schedule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