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06 — Market and Competitive</w:t>
      </w:r>
    </w:p>
    <w:p>
      <w:pPr>
        <w:pStyle w:val="IntenseQuote"/>
      </w:pPr>
      <w:r>
        <w:rPr>
          <w:i/>
        </w:rPr>
        <w:t>Sample folder. Sizes the opportunity, positions EchoPilot against alternatives, and lays out reimbursement strategy.</w:t>
      </w:r>
    </w:p>
    <w:p>
      <w:pPr>
        <w:pStyle w:val="Heading1"/>
      </w:pPr>
      <w:r/>
      <w:r>
        <w:rPr/>
        <w:t>Contents</w:t>
      </w:r>
    </w:p>
    <w:p>
      <w:pPr>
        <w:pStyle w:val="ListBullet"/>
      </w:pPr>
      <w:r>
        <w:rPr>
          <w:rFonts w:ascii="Consolas" w:hAnsi="Consolas"/>
          <w:sz w:val="20"/>
        </w:rPr>
        <w:t>market-sizing-tam-sam-som.md</w:t>
      </w:r>
      <w:r>
        <w:rPr/>
        <w:t xml:space="preserve"> — TAM/SAM/SOM grounded in patient population and echo volumes</w:t>
      </w:r>
    </w:p>
    <w:p>
      <w:pPr>
        <w:pStyle w:val="ListBullet"/>
      </w:pPr>
      <w:r>
        <w:rPr>
          <w:rFonts w:ascii="Consolas" w:hAnsi="Consolas"/>
          <w:sz w:val="20"/>
        </w:rPr>
        <w:t>competitive-landscape.md</w:t>
      </w:r>
      <w:r>
        <w:rPr/>
        <w:t xml:space="preserve"> — feature-level competitive matrix</w:t>
      </w:r>
    </w:p>
    <w:p>
      <w:pPr>
        <w:pStyle w:val="ListBullet"/>
      </w:pPr>
      <w:r>
        <w:rPr>
          <w:rFonts w:ascii="Consolas" w:hAnsi="Consolas"/>
          <w:sz w:val="20"/>
        </w:rPr>
        <w:t>reimbursement-strategy.md</w:t>
      </w:r>
      <w:r>
        <w:rPr/>
        <w:t xml:space="preserve"> — CPT pathway, payer coverage, Medicare LCD outlook</w:t>
      </w:r>
    </w:p>
    <w:p>
      <w:pPr>
        <w:pStyle w:val="Heading1"/>
      </w:pPr>
      <w:r/>
      <w:r>
        <w:rPr/>
        <w:t>Tier mapping</w:t>
      </w:r>
    </w:p>
    <w:p>
      <w:r>
        <w:rPr/>
        <w:t>| Document | Tier 1 | Tier 2 | Tier 3 | |----------|:-:|:-:|:-:| | market-sizing-tam-sam-som.md | x | x | x | | competitive-landscape.md | x | x | x | | reimbursement-strategy.md |   | x | x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