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Competitive Landscape</w:t>
      </w:r>
    </w:p>
    <w:p>
      <w:pPr>
        <w:pStyle w:val="IntenseQuote"/>
      </w:pPr>
      <w:r>
        <w:rPr>
          <w:i/>
        </w:rPr>
        <w:t>Sample document. Competitor information drawn from public disclosures.</w:t>
      </w:r>
    </w:p>
    <w:p>
      <w:pPr>
        <w:pStyle w:val="Heading1"/>
      </w:pPr>
      <w:r/>
      <w:r>
        <w:rPr/>
        <w:t>Competitor Universe</w:t>
      </w:r>
    </w:p>
    <w:p>
      <w:r>
        <w:rPr/>
        <w:t>The echo-AI competitive set spans three groups:</w:t>
      </w:r>
    </w:p>
    <w:p>
      <w:pPr>
        <w:pStyle w:val="ListNumber"/>
      </w:pPr>
      <w:r>
        <w:rPr>
          <w:b/>
        </w:rPr>
        <w:t>Direct cardiac-AI startups</w:t>
      </w:r>
      <w:r>
        <w:rPr/>
        <w:t xml:space="preserve"> building disease-detection algorithms (Ultromics, Us2.ai, Echo IQ, DiA Imaging Analysis)</w:t>
      </w:r>
    </w:p>
    <w:p>
      <w:pPr>
        <w:pStyle w:val="ListNumber"/>
      </w:pPr>
      <w:r>
        <w:rPr>
          <w:b/>
        </w:rPr>
        <w:t>Echo-machine OEMs</w:t>
      </w:r>
      <w:r>
        <w:rPr/>
        <w:t xml:space="preserve"> building native AI features (GE/Caption, Philips, Siemens, Canon)</w:t>
      </w:r>
    </w:p>
    <w:p>
      <w:pPr>
        <w:pStyle w:val="ListNumber"/>
      </w:pPr>
      <w:r>
        <w:rPr>
          <w:b/>
        </w:rPr>
        <w:t>Adjacent platforms</w:t>
      </w:r>
      <w:r>
        <w:rPr/>
        <w:t xml:space="preserve"> that may extend into amyloidosis (Cleerly Cardio, Eko Health) — currently non-overlapping</w:t>
      </w:r>
    </w:p>
    <w:p>
      <w:pPr>
        <w:pStyle w:val="Heading1"/>
      </w:pPr>
      <w:r/>
      <w:r>
        <w:rPr/>
        <w:t>Feature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HealthCo EchoPilot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Ultromics EchoGo Pro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Us2.ai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GE/Caption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Philips/DiA</w:t>
            </w:r>
          </w:p>
        </w:tc>
        <w:tc>
          <w:tcPr>
            <w:tcW w:type="dxa" w:w="1234"/>
            <w:shd w:val="clear" w:color="auto" w:fill="D9E2F3"/>
          </w:tcPr>
          <w:p>
            <w:r/>
            <w:r>
              <w:rPr>
                <w:b/>
              </w:rPr>
              <w:t>Echo IQ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FDA-cleared amyloidosis detection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Yes (K243178, 2024)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No (AU TGA only)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FDA 510(k) for any echo-AI feature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  <w:tc>
          <w:tcPr>
            <w:tcW w:type="dxa" w:w="1234"/>
          </w:tcPr>
          <w:p>
            <w:r/>
            <w:r>
              <w:rPr/>
              <w:t>Yes (multiple)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Amyloidosis-specific validation in peer review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Yes (JACC: CV Imaging 2025)</w:t>
            </w:r>
          </w:p>
        </w:tc>
        <w:tc>
          <w:tcPr>
            <w:tcW w:type="dxa" w:w="1234"/>
          </w:tcPr>
          <w:p>
            <w:r/>
            <w:r>
              <w:rPr/>
              <w:t>Partial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Yes (different focus)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Multi-vendor echo support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Yes (4 vendors validated)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  <w:tc>
          <w:tcPr>
            <w:tcW w:type="dxa" w:w="1234"/>
          </w:tcPr>
          <w:p>
            <w:r/>
            <w:r>
              <w:rPr/>
              <w:t>GE-native</w:t>
            </w:r>
          </w:p>
        </w:tc>
        <w:tc>
          <w:tcPr>
            <w:tcW w:type="dxa" w:w="1234"/>
          </w:tcPr>
          <w:p>
            <w:r/>
            <w:r>
              <w:rPr/>
              <w:t>Philips-native</w:t>
            </w:r>
          </w:p>
        </w:tc>
        <w:tc>
          <w:tcPr>
            <w:tcW w:type="dxa" w:w="1234"/>
          </w:tcPr>
          <w:p>
            <w:r/>
            <w:r>
              <w:rPr/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PACS / EHR integration (Epic + Cerner)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1234"/>
          </w:tcPr>
          <w:p>
            <w:r/>
            <w:r>
              <w:rPr/>
              <w:t>Partial</w:t>
            </w:r>
          </w:p>
        </w:tc>
        <w:tc>
          <w:tcPr>
            <w:tcW w:type="dxa" w:w="1234"/>
          </w:tcPr>
          <w:p>
            <w:r/>
            <w:r>
              <w:rPr/>
              <w:t>Partial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Auto-strain measurement (FDA)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De Novo pending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  <w:tc>
          <w:tcPr>
            <w:tcW w:type="dxa" w:w="1234"/>
          </w:tcPr>
          <w:p>
            <w:r/>
            <w:r>
              <w:rPr/>
              <w:t>Yes (separate clearance)</w:t>
            </w:r>
          </w:p>
        </w:tc>
        <w:tc>
          <w:tcPr>
            <w:tcW w:type="dxa" w:w="1234"/>
          </w:tcPr>
          <w:p>
            <w:r/>
            <w:r>
              <w:rPr/>
              <w:t>Yes (native)</w:t>
            </w:r>
          </w:p>
        </w:tc>
        <w:tc>
          <w:tcPr>
            <w:tcW w:type="dxa" w:w="1234"/>
          </w:tcPr>
          <w:p>
            <w:r/>
            <w:r>
              <w:rPr/>
              <w:t>Yes (native)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Cardio-oncology indication on roadmap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FY27</w:t>
            </w:r>
          </w:p>
        </w:tc>
        <w:tc>
          <w:tcPr>
            <w:tcW w:type="dxa" w:w="1234"/>
          </w:tcPr>
          <w:p>
            <w:r/>
            <w:r>
              <w:rPr/>
              <w:t>No public plan</w:t>
            </w:r>
          </w:p>
        </w:tc>
        <w:tc>
          <w:tcPr>
            <w:tcW w:type="dxa" w:w="1234"/>
          </w:tcPr>
          <w:p>
            <w:r/>
            <w:r>
              <w:rPr/>
              <w:t>No public plan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  <w:tc>
          <w:tcPr>
            <w:tcW w:type="dxa" w:w="1234"/>
          </w:tcPr>
          <w:p>
            <w:r/>
            <w:r>
              <w:rPr/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/>
              <w:t>Peer-reviewed real-world evidence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Yes (n=4,200 + 18K pilots)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  <w:tc>
          <w:tcPr>
            <w:tcW w:type="dxa" w:w="1234"/>
          </w:tcPr>
          <w:p>
            <w:r/>
            <w:r>
              <w:rPr/>
              <w:t>Aggregate only</w:t>
            </w:r>
          </w:p>
        </w:tc>
        <w:tc>
          <w:tcPr>
            <w:tcW w:type="dxa" w:w="1234"/>
          </w:tcPr>
          <w:p>
            <w:r/>
            <w:r>
              <w:rPr/>
              <w:t>Aggregate only</w:t>
            </w:r>
          </w:p>
        </w:tc>
        <w:tc>
          <w:tcPr>
            <w:tcW w:type="dxa" w:w="1234"/>
          </w:tcPr>
          <w:p>
            <w:r/>
            <w:r>
              <w:rPr/>
              <w:t>Limited</w:t>
            </w:r>
          </w:p>
        </w:tc>
      </w:tr>
    </w:tbl>
    <w:p>
      <w:pPr>
        <w:pStyle w:val="Heading1"/>
      </w:pPr>
      <w:r/>
      <w:r>
        <w:rPr/>
        <w:t>Market Position Notes</w:t>
      </w:r>
    </w:p>
    <w:p>
      <w:pPr>
        <w:pStyle w:val="Heading2"/>
      </w:pPr>
      <w:r/>
      <w:r>
        <w:rPr/>
        <w:t>Ultromics</w:t>
      </w:r>
    </w:p>
    <w:p>
      <w:r>
        <w:rPr/>
        <w:t xml:space="preserve">UK-based; Series C (2023). Strongest comparator on cleared structural-heart-AI breadth; </w:t>
      </w:r>
      <w:r>
        <w:rPr>
          <w:i/>
        </w:rPr>
        <w:t>not</w:t>
      </w:r>
      <w:r>
        <w:rPr/>
        <w:t xml:space="preserve"> amyloidosis-specific. Their primary clearance (EchoGo Pro, K233412) is HealthCo's predicate — establishing both regulatory precedent and a clean differentiation argument: HealthCo is purpose-built for amyloidosis, with peer-reviewed amyloidosis-specific validation Ultromics has not published.</w:t>
      </w:r>
    </w:p>
    <w:p>
      <w:pPr>
        <w:pStyle w:val="Heading2"/>
      </w:pPr>
      <w:r/>
      <w:r>
        <w:rPr/>
        <w:t>Us2.ai</w:t>
      </w:r>
    </w:p>
    <w:p>
      <w:r>
        <w:rPr/>
        <w:t>Singapore-based; Series A 2022, Series B 2024 (~$45M cumulative). Strain-measurement-focused; broad echo-quantification. Not a direct amyloidosis competitor, but their auto-strain clearance precedes HealthCo's De Novo. HealthCo's auto-strain claims are differentiated on multi-view fusion (US 12,014,476).</w:t>
      </w:r>
    </w:p>
    <w:p>
      <w:pPr>
        <w:pStyle w:val="Heading2"/>
      </w:pPr>
      <w:r/>
      <w:r>
        <w:rPr/>
        <w:t>GE / Caption Health</w:t>
      </w:r>
    </w:p>
    <w:p>
      <w:r>
        <w:rPr/>
        <w:t>GE acquired Caption Health (2023) and integrates AI features natively into their echo machines. Concentration risk for vendor-specific approaches; HealthCo is multi-vendor by design. GE has no FDA-cleared amyloidosis-specific feature.</w:t>
      </w:r>
    </w:p>
    <w:p>
      <w:pPr>
        <w:pStyle w:val="Heading2"/>
      </w:pPr>
      <w:r/>
      <w:r>
        <w:rPr/>
        <w:t>Philips / DiA Imaging Analysis</w:t>
      </w:r>
    </w:p>
    <w:p>
      <w:r>
        <w:rPr/>
        <w:t>Philips' embedded analytics; DiA partnership. Vendor-specific focus. Not amyloidosis-specific.</w:t>
      </w:r>
    </w:p>
    <w:p>
      <w:pPr>
        <w:pStyle w:val="Heading2"/>
      </w:pPr>
      <w:r/>
      <w:r>
        <w:rPr/>
        <w:t>Echo IQ</w:t>
      </w:r>
    </w:p>
    <w:p>
      <w:r>
        <w:rPr/>
        <w:t>Australian; recent partnership with US Cardiology Partners. Aortic stenosis severity focus; not amyloidosis. Cleared in TGA; no FDA clearance as of this writing.</w:t>
      </w:r>
    </w:p>
    <w:p>
      <w:pPr>
        <w:pStyle w:val="Heading1"/>
      </w:pPr>
      <w:r/>
      <w:r>
        <w:rPr/>
        <w:t>Recent Activity</w:t>
      </w:r>
    </w:p>
    <w:p>
      <w:pPr>
        <w:pStyle w:val="ListBullet"/>
      </w:pPr>
      <w:r>
        <w:rPr>
          <w:b/>
        </w:rPr>
        <w:t>GE / Caption Health acquisition</w:t>
      </w:r>
      <w:r>
        <w:rPr/>
        <w:t xml:space="preserve"> — disclosed 2023, terms undisclosed</w:t>
      </w:r>
    </w:p>
    <w:p>
      <w:pPr>
        <w:pStyle w:val="ListBullet"/>
      </w:pPr>
      <w:r>
        <w:rPr>
          <w:b/>
        </w:rPr>
        <w:t>Ultromics Series C</w:t>
      </w:r>
      <w:r>
        <w:rPr/>
        <w:t xml:space="preserve"> — 2023, ~$33M led by Blue Venture Fund</w:t>
      </w:r>
    </w:p>
    <w:p>
      <w:pPr>
        <w:pStyle w:val="ListBullet"/>
      </w:pPr>
      <w:r>
        <w:rPr>
          <w:b/>
        </w:rPr>
        <w:t>Us2.ai Series B</w:t>
      </w:r>
      <w:r>
        <w:rPr/>
        <w:t xml:space="preserve"> — 2024, ~$25M led by EDBI</w:t>
      </w:r>
    </w:p>
    <w:p>
      <w:pPr>
        <w:pStyle w:val="ListBullet"/>
      </w:pPr>
      <w:r>
        <w:rPr>
          <w:b/>
        </w:rPr>
        <w:t>Cleerly cardio CT $192M Series C</w:t>
      </w:r>
      <w:r>
        <w:rPr/>
        <w:t xml:space="preserve"> — 2024 (adjacent, not direct)</w:t>
      </w:r>
    </w:p>
    <w:p>
      <w:pPr>
        <w:pStyle w:val="Heading1"/>
      </w:pPr>
      <w:r/>
      <w:r>
        <w:rPr/>
        <w:t>HealthCo Differentiation</w:t>
      </w:r>
    </w:p>
    <w:p>
      <w:pPr>
        <w:pStyle w:val="ListNumber"/>
      </w:pPr>
      <w:r>
        <w:rPr>
          <w:b/>
        </w:rPr>
        <w:t>Sole FDA-cleared amyloidosis-specific echo AI</w:t>
      </w:r>
      <w:r>
        <w:rPr/>
        <w:t xml:space="preserve"> (as of submission of this document)</w:t>
      </w:r>
    </w:p>
    <w:p>
      <w:pPr>
        <w:pStyle w:val="ListNumber"/>
      </w:pPr>
      <w:r>
        <w:rPr>
          <w:b/>
        </w:rPr>
        <w:t>Highest-quality peer-reviewed evidence</w:t>
      </w:r>
      <w:r>
        <w:rPr/>
        <w:t xml:space="preserve"> specific to amyloidosis (JACC: CV Imaging 2025; n=4,200 retrospective + n=18K real-world)</w:t>
      </w:r>
    </w:p>
    <w:p>
      <w:pPr>
        <w:pStyle w:val="ListNumber"/>
      </w:pPr>
      <w:r>
        <w:rPr>
          <w:b/>
        </w:rPr>
        <w:t>Multi-vendor neutrality</w:t>
      </w:r>
      <w:r>
        <w:rPr/>
        <w:t xml:space="preserve"> — strategically important as health systems run heterogeneous fleets</w:t>
      </w:r>
    </w:p>
    <w:p>
      <w:pPr>
        <w:pStyle w:val="ListNumber"/>
      </w:pPr>
      <w:r>
        <w:rPr>
          <w:b/>
        </w:rPr>
        <w:t>Direct ties to amyloidosis KOL community</w:t>
      </w:r>
      <w:r>
        <w:rPr/>
        <w:t xml:space="preserve"> (</w:t>
      </w:r>
      <w:r>
        <w:rPr>
          <w:rFonts w:ascii="Consolas" w:hAnsi="Consolas"/>
          <w:sz w:val="20"/>
        </w:rPr>
        <w:t>04-Preclinical-Clinical/kol-advisory-board.md</w:t>
      </w:r>
      <w:r>
        <w:rPr/>
        <w:t>) — Falk, Maurer, Sperry are the consensus authority figures driving disease awareness</w:t>
      </w:r>
    </w:p>
    <w:p>
      <w:pPr>
        <w:pStyle w:val="ListNumber"/>
      </w:pPr>
      <w:r>
        <w:rPr>
          <w:b/>
        </w:rPr>
        <w:t>Reimbursement leverage</w:t>
      </w:r>
      <w:r>
        <w:rPr/>
        <w:t xml:space="preserve"> — first-mover on dedicated-CPT pursuit (</w:t>
      </w:r>
      <w:r>
        <w:rPr>
          <w:rFonts w:ascii="Consolas" w:hAnsi="Consolas"/>
          <w:sz w:val="20"/>
        </w:rPr>
        <w:t>reimbursement-strategy.md</w:t>
      </w:r>
      <w:r>
        <w:rPr/>
        <w:t>)</w:t>
      </w:r>
    </w:p>
    <w:p>
      <w:pPr>
        <w:pStyle w:val="ListNumber"/>
      </w:pPr>
      <w:r>
        <w:rPr>
          <w:b/>
        </w:rPr>
        <w:t>IP perimeter</w:t>
      </w:r>
      <w:r>
        <w:rPr/>
        <w:t xml:space="preserve"> — 4 issued + 8 pending; FTO clean; Wilmer Hale opinion (</w:t>
      </w:r>
      <w:r>
        <w:rPr>
          <w:rFonts w:ascii="Consolas" w:hAnsi="Consolas"/>
          <w:sz w:val="20"/>
        </w:rPr>
        <w:t>02-IP/fto-opinion-summary.md</w:t>
      </w:r>
      <w:r>
        <w:rPr/>
        <w:t>)</w:t>
      </w:r>
    </w:p>
    <w:p>
      <w:pPr>
        <w:pStyle w:val="Heading1"/>
      </w:pPr>
      <w:r/>
      <w:r>
        <w:rPr/>
        <w:t>Risks</w:t>
      </w:r>
    </w:p>
    <w:p>
      <w:pPr>
        <w:pStyle w:val="ListBullet"/>
      </w:pPr>
      <w:r>
        <w:rPr>
          <w:b/>
        </w:rPr>
        <w:t>Speed of OEM-native features</w:t>
      </w:r>
      <w:r>
        <w:rPr/>
        <w:t xml:space="preserve"> — if GE/Philips embed comparable capability natively, channel pressure increases. Mitigant: HealthCo's multi-vendor neutrality and PACS-layer integration are attractive to large IDNs running heterogeneous fleets.</w:t>
      </w:r>
    </w:p>
    <w:p>
      <w:pPr>
        <w:pStyle w:val="ListBullet"/>
      </w:pPr>
      <w:r>
        <w:rPr>
          <w:b/>
        </w:rPr>
        <w:t>Ultromics indication expansion</w:t>
      </w:r>
      <w:r>
        <w:rPr/>
        <w:t xml:space="preserve"> — if Ultromics adds an amyloidosis-specific clearance, the differentiation narrows. Mitigant: HealthCo's lead time, evidence base, and KOL ties are durable.</w:t>
      </w:r>
    </w:p>
    <w:p>
      <w:pPr>
        <w:pStyle w:val="ListBullet"/>
      </w:pPr>
      <w:r>
        <w:rPr>
          <w:b/>
        </w:rPr>
        <w:t>Therapy-side macro shifts</w:t>
      </w:r>
      <w:r>
        <w:rPr/>
        <w:t xml:space="preserve"> — payer willingness to fund diagnosis is therapy-driven; meaningful disruption to ATTR-amyloidosis therapy economics could compress pull. Mitigant: amyloidosis therapy pipeline (tafamidis, patisiran, vutrisiran, acoramidis) is broadening, not narrowing.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