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Market Sizing — TAM / SAM / SOM</w:t>
      </w:r>
    </w:p>
    <w:p>
      <w:pPr>
        <w:pStyle w:val="IntenseQuote"/>
      </w:pPr>
      <w:r>
        <w:rPr>
          <w:i/>
        </w:rPr>
        <w:t xml:space="preserve">Sample document. Quantitative assumptions are illustrative; full bottom-up build lives in </w:t>
      </w:r>
      <w:r>
        <w:rPr>
          <w:rFonts w:ascii="Consolas" w:hAnsi="Consolas"/>
          <w:sz w:val="20"/>
        </w:rPr>
        <w:t>../../model/financial_model.xlsx</w:t>
      </w:r>
      <w:r>
        <w:rPr>
          <w:i/>
        </w:rPr>
        <w:t xml:space="preserve"> (tab: Assumptions).</w:t>
      </w:r>
    </w:p>
    <w:p>
      <w:pPr>
        <w:pStyle w:val="Heading1"/>
      </w:pPr>
      <w:r/>
      <w:r>
        <w:rPr/>
        <w:t>Methodology</w:t>
      </w:r>
    </w:p>
    <w:p>
      <w:r>
        <w:rPr/>
        <w:t xml:space="preserve">Sizing is built bottom-up from epidemiology and US echocardiogram volumes. We deliberately </w:t>
      </w:r>
      <w:r>
        <w:rPr>
          <w:b/>
        </w:rPr>
        <w:t>do not</w:t>
      </w:r>
      <w:r>
        <w:rPr/>
        <w:t xml:space="preserve"> rely on top-down "AI in healthcare" market reports. Each assumption is sourced and stress-tested.</w:t>
      </w:r>
    </w:p>
    <w:p>
      <w:pPr>
        <w:pStyle w:val="Heading1"/>
      </w:pPr>
      <w:r/>
      <w:r>
        <w:rPr/>
        <w:t>Patient Population</w:t>
      </w:r>
    </w:p>
    <w:p>
      <w:r>
        <w:rPr/>
        <w:t>Cardiac amyloidosis is dramatically underdiagnosed. Two seminal references frame the addressable population:</w:t>
      </w:r>
    </w:p>
    <w:p>
      <w:pPr>
        <w:pStyle w:val="ListBullet"/>
      </w:pPr>
      <w:r>
        <w:rPr>
          <w:b/>
        </w:rPr>
        <w:t>Maurer et al., NEJM 2014</w:t>
      </w:r>
      <w:r>
        <w:rPr/>
        <w:t xml:space="preserve"> — ATTR amyloidosis prevalence in HFpEF estimated at ~13% on autopsy / advanced imaging follow-up</w:t>
      </w:r>
    </w:p>
    <w:p>
      <w:pPr>
        <w:pStyle w:val="ListBullet"/>
      </w:pPr>
      <w:r>
        <w:rPr>
          <w:b/>
        </w:rPr>
        <w:t>AACC / ASE consensus statements (2019, 2023)</w:t>
      </w:r>
      <w:r>
        <w:rPr/>
        <w:t xml:space="preserve"> — recommend amyloidosis screening in patients with HFpEF + LVH, low-flow low-gradient AS, and other red-flag presentations</w:t>
      </w:r>
    </w:p>
    <w:p>
      <w:r>
        <w:rPr/>
        <w:t xml:space="preserve">Together, these support an estimate of </w:t>
      </w:r>
      <w:r>
        <w:rPr>
          <w:b/>
        </w:rPr>
        <w:t>~1.0M – 1.5M Americans</w:t>
      </w:r>
      <w:r>
        <w:rPr/>
        <w:t xml:space="preserve"> with prevalent (largely undiagnosed) cardiac amyloidosis, with annual newly developed cases far exceeding annual diagnosis rates.</w:t>
      </w:r>
    </w:p>
    <w:p>
      <w:pPr>
        <w:pStyle w:val="Heading1"/>
      </w:pPr>
      <w:r/>
      <w:r>
        <w:rPr/>
        <w:t>Echo Volumes (US)</w:t>
      </w:r>
    </w:p>
    <w:p>
      <w:pPr>
        <w:pStyle w:val="ListBullet"/>
      </w:pPr>
      <w:r>
        <w:rPr>
          <w:b/>
        </w:rPr>
        <w:t>Annual transthoracic echo volumes (US):</w:t>
      </w:r>
      <w:r>
        <w:rPr/>
        <w:t xml:space="preserve"> ~30 million — derived from CMS Physician/Supplier Procedure Summary data and ASE guidance, reconciled with private-payer claims</w:t>
      </w:r>
    </w:p>
    <w:p>
      <w:pPr>
        <w:pStyle w:val="ListBullet"/>
      </w:pPr>
      <w:r>
        <w:rPr>
          <w:b/>
        </w:rPr>
        <w:t>Volumes performed in adults at risk for amyloidosis (HFpEF, AS, LVH, autonomic neuropathy red flags):</w:t>
      </w:r>
      <w:r>
        <w:rPr/>
        <w:t xml:space="preserve"> ~6 – 8 million per year (estimated from ICD-coded indication mix)</w:t>
      </w:r>
    </w:p>
    <w:p>
      <w:pPr>
        <w:pStyle w:val="ListBullet"/>
      </w:pPr>
      <w:r>
        <w:rPr>
          <w:b/>
        </w:rPr>
        <w:t>Echo volumes in academic / large IDN settings (HealthCo's beachhead):</w:t>
      </w:r>
      <w:r>
        <w:rPr/>
        <w:t xml:space="preserve"> ~12 million</w:t>
      </w:r>
    </w:p>
    <w:p>
      <w:pPr>
        <w:pStyle w:val="Heading1"/>
      </w:pPr>
      <w:r/>
      <w:r>
        <w:rPr/>
        <w:t>TAM (Total Addressable Market)</w:t>
      </w:r>
    </w:p>
    <w:p>
      <w:r>
        <w:rPr/>
        <w:t>Defined as: every adult TTE in the US that could plausibly benefit from amyloidosis-screening AI.</w:t>
      </w:r>
    </w:p>
    <w:p>
      <w:pPr>
        <w:pStyle w:val="ListBullet"/>
      </w:pPr>
      <w:r>
        <w:rPr/>
        <w:t xml:space="preserve">30M annual echos × $20 per-study analysis fee (achievable post dedicated CPT) = </w:t>
      </w:r>
      <w:r>
        <w:rPr>
          <w:b/>
        </w:rPr>
        <w:t>$600M annual TAM</w:t>
      </w:r>
      <w:r>
        <w:rPr/>
        <w:t xml:space="preserve"> in the US</w:t>
      </w:r>
    </w:p>
    <w:p>
      <w:pPr>
        <w:pStyle w:val="ListBullet"/>
      </w:pPr>
      <w:r>
        <w:rPr/>
        <w:t xml:space="preserve">Add EU5 + Japan parity (~50% of US volumes blended) → </w:t>
      </w:r>
      <w:r>
        <w:rPr>
          <w:b/>
        </w:rPr>
        <w:t>~$900M global TAM</w:t>
      </w:r>
    </w:p>
    <w:p>
      <w:pPr>
        <w:pStyle w:val="Heading1"/>
      </w:pPr>
      <w:r/>
      <w:r>
        <w:rPr/>
        <w:t>SAM (Serviceable Addressable Market)</w:t>
      </w:r>
    </w:p>
    <w:p>
      <w:r>
        <w:rPr/>
        <w:t>Defined as: echos where AI screening is clinically appropriate and reimbursement is plausible within five years.</w:t>
      </w:r>
    </w:p>
    <w:p>
      <w:pPr>
        <w:pStyle w:val="ListBullet"/>
      </w:pPr>
      <w:r>
        <w:rPr/>
        <w:t xml:space="preserve">8M annual at-risk echos × $20 per-study fee = </w:t>
      </w:r>
      <w:r>
        <w:rPr>
          <w:b/>
        </w:rPr>
        <w:t>$160M annual SAM</w:t>
      </w:r>
      <w:r>
        <w:rPr/>
        <w:t xml:space="preserve"> in the US</w:t>
      </w:r>
    </w:p>
    <w:p>
      <w:pPr>
        <w:pStyle w:val="ListBullet"/>
      </w:pPr>
      <w:r>
        <w:rPr/>
        <w:t xml:space="preserve">Layer in cardio-oncology screening (FY27 indication) at 1M annual studies → </w:t>
      </w:r>
      <w:r>
        <w:rPr>
          <w:b/>
        </w:rPr>
        <w:t>+$20M</w:t>
      </w:r>
    </w:p>
    <w:p>
      <w:pPr>
        <w:pStyle w:val="ListBullet"/>
      </w:pPr>
      <w:r>
        <w:rPr/>
        <w:t xml:space="preserve">Add HCM detection extension at 2M annual studies → </w:t>
      </w:r>
      <w:r>
        <w:rPr>
          <w:b/>
        </w:rPr>
        <w:t>+$40M</w:t>
      </w:r>
    </w:p>
    <w:p>
      <w:pPr>
        <w:pStyle w:val="ListBullet"/>
      </w:pPr>
      <w:r>
        <w:rPr/>
        <w:t xml:space="preserve">US SAM: </w:t>
      </w:r>
      <w:r>
        <w:rPr>
          <w:b/>
        </w:rPr>
        <w:t>~$220M annual</w:t>
      </w:r>
      <w:r>
        <w:rPr/>
        <w:t xml:space="preserve"> by FY28</w:t>
      </w:r>
    </w:p>
    <w:p>
      <w:pPr>
        <w:pStyle w:val="ListBullet"/>
      </w:pPr>
      <w:r>
        <w:rPr/>
        <w:t>Global SAM: ~$330M</w:t>
      </w:r>
    </w:p>
    <w:p>
      <w:pPr>
        <w:pStyle w:val="Heading1"/>
      </w:pPr>
      <w:r/>
      <w:r>
        <w:rPr/>
        <w:t>SOM (Serviceable Obtainable Market)</w:t>
      </w:r>
    </w:p>
    <w:p>
      <w:r>
        <w:rPr/>
        <w:t>Defined as: HealthCo's plausible 5-year capture given competitive dynamics, sales coverage, and FDA-cleared indications.</w:t>
      </w:r>
    </w:p>
    <w:p>
      <w:pPr>
        <w:pStyle w:val="ListBullet"/>
      </w:pPr>
      <w:r>
        <w:rPr/>
        <w:t>Beachhead: 50 large IDNs and academic centers covering ~25% of at-risk echo volume</w:t>
      </w:r>
    </w:p>
    <w:p>
      <w:pPr>
        <w:pStyle w:val="ListBullet"/>
      </w:pPr>
      <w:r>
        <w:rPr/>
        <w:t>5-year target penetration of beachhead: 30%</w:t>
      </w:r>
    </w:p>
    <w:p>
      <w:pPr>
        <w:pStyle w:val="ListBullet"/>
      </w:pPr>
      <w:r>
        <w:rPr/>
        <w:t>Implied SOM: ~$15 – 20M annual revenue by Year 5</w:t>
      </w:r>
    </w:p>
    <w:p>
      <w:pPr>
        <w:pStyle w:val="ListBullet"/>
      </w:pPr>
      <w:r>
        <w:rPr/>
        <w:t xml:space="preserve">Reflected in </w:t>
      </w:r>
      <w:r>
        <w:rPr>
          <w:rFonts w:ascii="Consolas" w:hAnsi="Consolas"/>
          <w:sz w:val="20"/>
        </w:rPr>
        <w:t>../../model/financial_model.xlsx</w:t>
      </w:r>
      <w:r>
        <w:rPr/>
        <w:t xml:space="preserve"> (Y5 revenue line)</w:t>
      </w:r>
    </w:p>
    <w:p>
      <w:pPr>
        <w:pStyle w:val="Heading1"/>
      </w:pPr>
      <w:r/>
      <w:r>
        <w:rPr/>
        <w:t>Assumptions That Drive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Assumption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Base Case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Bear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Bull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Per-study fee</w:t>
            </w:r>
          </w:p>
        </w:tc>
        <w:tc>
          <w:tcPr>
            <w:tcW w:type="dxa" w:w="2160"/>
          </w:tcPr>
          <w:p>
            <w:r/>
            <w:r>
              <w:rPr/>
              <w:t>$20</w:t>
            </w:r>
          </w:p>
        </w:tc>
        <w:tc>
          <w:tcPr>
            <w:tcW w:type="dxa" w:w="2160"/>
          </w:tcPr>
          <w:p>
            <w:r/>
            <w:r>
              <w:rPr/>
              <w:t>$12</w:t>
            </w:r>
          </w:p>
        </w:tc>
        <w:tc>
          <w:tcPr>
            <w:tcW w:type="dxa" w:w="2160"/>
          </w:tcPr>
          <w:p>
            <w:r/>
            <w:r>
              <w:rPr/>
              <w:t>$30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Beachhead share</w:t>
            </w:r>
          </w:p>
        </w:tc>
        <w:tc>
          <w:tcPr>
            <w:tcW w:type="dxa" w:w="2160"/>
          </w:tcPr>
          <w:p>
            <w:r/>
            <w:r>
              <w:rPr/>
              <w:t>25% of US at-risk echos</w:t>
            </w:r>
          </w:p>
        </w:tc>
        <w:tc>
          <w:tcPr>
            <w:tcW w:type="dxa" w:w="2160"/>
          </w:tcPr>
          <w:p>
            <w:r/>
            <w:r>
              <w:rPr/>
              <w:t>20%</w:t>
            </w:r>
          </w:p>
        </w:tc>
        <w:tc>
          <w:tcPr>
            <w:tcW w:type="dxa" w:w="2160"/>
          </w:tcPr>
          <w:p>
            <w:r/>
            <w:r>
              <w:rPr/>
              <w:t>30%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5-yr penetration of beachhead</w:t>
            </w:r>
          </w:p>
        </w:tc>
        <w:tc>
          <w:tcPr>
            <w:tcW w:type="dxa" w:w="2160"/>
          </w:tcPr>
          <w:p>
            <w:r/>
            <w:r>
              <w:rPr/>
              <w:t>30%</w:t>
            </w:r>
          </w:p>
        </w:tc>
        <w:tc>
          <w:tcPr>
            <w:tcW w:type="dxa" w:w="2160"/>
          </w:tcPr>
          <w:p>
            <w:r/>
            <w:r>
              <w:rPr/>
              <w:t>18%</w:t>
            </w:r>
          </w:p>
        </w:tc>
        <w:tc>
          <w:tcPr>
            <w:tcW w:type="dxa" w:w="2160"/>
          </w:tcPr>
          <w:p>
            <w:r/>
            <w:r>
              <w:rPr/>
              <w:t>45%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Cardio-oncology indication on time</w:t>
            </w:r>
          </w:p>
        </w:tc>
        <w:tc>
          <w:tcPr>
            <w:tcW w:type="dxa" w:w="2160"/>
          </w:tcPr>
          <w:p>
            <w:r/>
            <w:r>
              <w:rPr/>
              <w:t>FY27 Q4</w:t>
            </w:r>
          </w:p>
        </w:tc>
        <w:tc>
          <w:tcPr>
            <w:tcW w:type="dxa" w:w="2160"/>
          </w:tcPr>
          <w:p>
            <w:r/>
            <w:r>
              <w:rPr/>
              <w:t>FY28 Q2</w:t>
            </w:r>
          </w:p>
        </w:tc>
        <w:tc>
          <w:tcPr>
            <w:tcW w:type="dxa" w:w="2160"/>
          </w:tcPr>
          <w:p>
            <w:r/>
            <w:r>
              <w:rPr/>
              <w:t>FY27 Q3</w:t>
            </w:r>
          </w:p>
        </w:tc>
      </w:tr>
    </w:tbl>
    <w:p>
      <w:pPr>
        <w:pStyle w:val="Heading1"/>
      </w:pPr>
      <w:r/>
      <w:r>
        <w:rPr/>
        <w:t>Why this sizing is plausible</w:t>
      </w:r>
    </w:p>
    <w:p>
      <w:pPr>
        <w:pStyle w:val="ListBullet"/>
      </w:pPr>
      <w:r>
        <w:rPr>
          <w:b/>
        </w:rPr>
        <w:t>Disease-modifying therapy (tafamidis, patisiran, vutrisiran)</w:t>
      </w:r>
      <w:r>
        <w:rPr/>
        <w:t xml:space="preserve"> has transformed amyloidosis from a death sentence to a treatable condition — payer willingness-to-pay for diagnosis is materially higher than five years ago</w:t>
      </w:r>
    </w:p>
    <w:p>
      <w:pPr>
        <w:pStyle w:val="ListBullet"/>
      </w:pPr>
      <w:r>
        <w:rPr>
          <w:b/>
        </w:rPr>
        <w:t>Therapy-driven demand:</w:t>
      </w:r>
      <w:r>
        <w:rPr/>
        <w:t xml:space="preserve"> Pfizer's Vyndaqel franchise (&gt;$3B revenue in 2024) creates a robust ecosystem incentive for diagnosis tools</w:t>
      </w:r>
    </w:p>
    <w:p>
      <w:pPr>
        <w:pStyle w:val="ListBullet"/>
      </w:pPr>
      <w:r>
        <w:rPr>
          <w:b/>
        </w:rPr>
        <w:t>CMS pathway clarity:</w:t>
      </w:r>
      <w:r>
        <w:rPr/>
        <w:t xml:space="preserve"> the existing Category III code (</w:t>
      </w:r>
      <w:r>
        <w:rPr>
          <w:rFonts w:ascii="Consolas" w:hAnsi="Consolas"/>
          <w:sz w:val="20"/>
        </w:rPr>
        <w:t>reimbursement-strategy.md</w:t>
      </w:r>
      <w:r>
        <w:rPr/>
        <w:t>) creates a billing motion HealthCo can scale; dedicated CPT is the upside catalyst</w:t>
      </w:r>
    </w:p>
    <w:p>
      <w:pPr>
        <w:pStyle w:val="Heading1"/>
      </w:pPr>
      <w:r/>
      <w:r>
        <w:rPr/>
        <w:t>Sources Cited</w:t>
      </w:r>
    </w:p>
    <w:p>
      <w:pPr>
        <w:pStyle w:val="ListBullet"/>
      </w:pPr>
      <w:r>
        <w:rPr/>
        <w:t xml:space="preserve">Maurer MS, et al. </w:t>
      </w:r>
      <w:r>
        <w:rPr>
          <w:i/>
        </w:rPr>
        <w:t>NEJM</w:t>
      </w:r>
      <w:r>
        <w:rPr/>
        <w:t xml:space="preserve"> 2014;370:1716-25 (ATTR prevalence in HFpEF)</w:t>
      </w:r>
    </w:p>
    <w:p>
      <w:pPr>
        <w:pStyle w:val="ListBullet"/>
      </w:pPr>
      <w:r>
        <w:rPr/>
        <w:t>ASE / EACVI 2019 expert consensus on multimodality imaging in cardiac amyloidosis</w:t>
      </w:r>
    </w:p>
    <w:p>
      <w:pPr>
        <w:pStyle w:val="ListBullet"/>
      </w:pPr>
      <w:r>
        <w:rPr/>
        <w:t>CMS Physician/Supplier Procedure Summary (most recent year)</w:t>
      </w:r>
    </w:p>
    <w:p>
      <w:pPr>
        <w:pStyle w:val="ListBullet"/>
      </w:pPr>
      <w:r>
        <w:rPr/>
        <w:t>Pfizer 10-K 2024 (Vyndaqel franchise revenue)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