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/>
      <w:r>
        <w:rPr/>
        <w:t>Reimbursement Strategy</w:t>
      </w:r>
    </w:p>
    <w:p>
      <w:pPr>
        <w:pStyle w:val="IntenseQuote"/>
      </w:pPr>
      <w:r>
        <w:rPr>
          <w:i/>
        </w:rPr>
        <w:t>Sample document. Codes and policies referenced are illustrative; consult current AMA / CMS sources for any operational decision.</w:t>
      </w:r>
    </w:p>
    <w:p>
      <w:pPr>
        <w:pStyle w:val="Heading1"/>
      </w:pPr>
      <w:r/>
      <w:r>
        <w:rPr/>
        <w:t>Today's State</w:t>
      </w:r>
    </w:p>
    <w:p>
      <w:r>
        <w:rPr/>
        <w:t xml:space="preserve">EchoPilot bills under </w:t>
      </w:r>
      <w:r>
        <w:rPr>
          <w:b/>
        </w:rPr>
        <w:t>CPT 0623T</w:t>
      </w:r>
      <w:r>
        <w:rPr/>
        <w:t xml:space="preserve"> — a Category III tracking code introduced for AI-augmented echocardiographic analysis. CPT 0623T:</w:t>
      </w:r>
    </w:p>
    <w:p>
      <w:pPr>
        <w:pStyle w:val="ListBullet"/>
      </w:pPr>
      <w:r>
        <w:rPr/>
        <w:t>Was effective January 2021 (introduced in the AMA CPT 2021 update cycle)</w:t>
      </w:r>
    </w:p>
    <w:p>
      <w:pPr>
        <w:pStyle w:val="ListBullet"/>
      </w:pPr>
      <w:r>
        <w:rPr/>
        <w:t>Is the precedent code most directly applicable to AI-augmented echo workflows</w:t>
      </w:r>
    </w:p>
    <w:p>
      <w:pPr>
        <w:pStyle w:val="ListBullet"/>
      </w:pPr>
      <w:r>
        <w:rPr/>
        <w:t>Carries no national CMS payment rate (Category III codes are carrier-priced); fee-for-service contracting is on a case-by-case basis with payers</w:t>
      </w:r>
    </w:p>
    <w:p>
      <w:r>
        <w:rPr/>
        <w:t>In current pilot deployments, billing is not the primary economic mechanism — pilot health systems pay HealthCo a per-study analysis fee under the MSAs (</w:t>
      </w:r>
      <w:r>
        <w:rPr>
          <w:rFonts w:ascii="Consolas" w:hAnsi="Consolas"/>
          <w:sz w:val="20"/>
        </w:rPr>
        <w:t>01-Corporate/material-agreements-index.md</w:t>
      </w:r>
      <w:r>
        <w:rPr/>
        <w:t xml:space="preserve">). However, </w:t>
      </w:r>
      <w:r>
        <w:rPr>
          <w:b/>
        </w:rPr>
        <w:t>the pathway from per-study fees to reimbursed billable revenue is the central commercial leverage point</w:t>
      </w:r>
      <w:r>
        <w:rPr/>
        <w:t xml:space="preserve"> for HealthCo, and is the focus of this document.</w:t>
      </w:r>
    </w:p>
    <w:p>
      <w:pPr>
        <w:pStyle w:val="Heading1"/>
      </w:pPr>
      <w:r/>
      <w:r>
        <w:rPr/>
        <w:t>Strategy in One Paragraph</w:t>
      </w:r>
    </w:p>
    <w:p>
      <w:r>
        <w:rPr/>
        <w:t xml:space="preserve">HealthCo is pursuing a </w:t>
      </w:r>
      <w:r>
        <w:rPr>
          <w:b/>
        </w:rPr>
        <w:t>dedicated Category I CPT code</w:t>
      </w:r>
      <w:r>
        <w:rPr/>
        <w:t xml:space="preserve"> for AI-augmented amyloidosis screening from echocardiograms, with a parallel push for favorable Medicare and commercial-payer coverage policies. The CPT pathway is multi-year (typical conversion from Category III to Category I is 3 – 5 years and requires substantial published evidence of clinical utility). HealthCo's published JACC: CV Imaging study and pilot real-world data are the seed evidence.</w:t>
      </w:r>
    </w:p>
    <w:p>
      <w:pPr>
        <w:pStyle w:val="Heading1"/>
      </w:pPr>
      <w:r/>
      <w:r>
        <w:rPr/>
        <w:t>CPT Pathway</w:t>
      </w:r>
    </w:p>
    <w:p>
      <w:pPr>
        <w:pStyle w:val="ListBullet"/>
      </w:pPr>
      <w:r>
        <w:rPr>
          <w:b/>
        </w:rPr>
        <w:t>Current code (0623T):</w:t>
      </w:r>
      <w:r>
        <w:rPr/>
        <w:t xml:space="preserve"> continues to apply through transition</w:t>
      </w:r>
    </w:p>
    <w:p>
      <w:pPr>
        <w:pStyle w:val="ListBullet"/>
      </w:pPr>
      <w:r>
        <w:rPr>
          <w:b/>
        </w:rPr>
        <w:t>Code change application:</w:t>
      </w:r>
      <w:r>
        <w:rPr/>
        <w:t xml:space="preserve"> HealthCo, in collaboration with the American Society of Echocardiography (ASE) and select KOLs (Falk, Maurer), has begun preparing a Category I application targeting the 2027 CPT cycle</w:t>
      </w:r>
    </w:p>
    <w:p>
      <w:pPr>
        <w:pStyle w:val="ListBullet"/>
      </w:pPr>
      <w:r>
        <w:rPr>
          <w:b/>
        </w:rPr>
        <w:t>Required evidence:</w:t>
      </w:r>
      <w:r>
        <w:rPr/>
        <w:t xml:space="preserve"> demonstration of widespread clinical use (HealthCo's pilot deployments contribute), peer-reviewed efficacy (JACC paper supports), and broad provider need</w:t>
      </w:r>
    </w:p>
    <w:p>
      <w:pPr>
        <w:pStyle w:val="ListBullet"/>
      </w:pPr>
      <w:r>
        <w:rPr>
          <w:b/>
        </w:rPr>
        <w:t>RUC valuation:</w:t>
      </w:r>
      <w:r>
        <w:rPr/>
        <w:t xml:space="preserve"> parallel work with the AMA Specialty Society RUC will determine the recommended work and practice-expense RVUs</w:t>
      </w:r>
    </w:p>
    <w:p>
      <w:pPr>
        <w:pStyle w:val="Heading1"/>
      </w:pPr>
      <w:r/>
      <w:r>
        <w:rPr/>
        <w:t>Medicare Coverage</w:t>
      </w:r>
    </w:p>
    <w:p>
      <w:pPr>
        <w:pStyle w:val="ListBullet"/>
      </w:pPr>
      <w:r>
        <w:rPr>
          <w:b/>
        </w:rPr>
        <w:t>National Coverage Determination (NCD):</w:t>
      </w:r>
      <w:r>
        <w:rPr/>
        <w:t xml:space="preserve"> none specifically for AI-augmented echo</w:t>
      </w:r>
    </w:p>
    <w:p>
      <w:pPr>
        <w:pStyle w:val="ListBullet"/>
      </w:pPr>
      <w:r>
        <w:rPr>
          <w:b/>
        </w:rPr>
        <w:t>Local Coverage Determinations (LCDs):</w:t>
      </w:r>
      <w:r>
        <w:rPr/>
        <w:t xml:space="preserve"> at the MAC (Medicare Administrative Contractor) level, several MACs have published guidance acknowledging AI-augmented imaging analysis as separately reportable when clinically indicated</w:t>
      </w:r>
    </w:p>
    <w:p>
      <w:pPr>
        <w:pStyle w:val="ListBullet"/>
      </w:pPr>
      <w:r>
        <w:rPr>
          <w:b/>
        </w:rPr>
        <w:t>HealthCo's MAC outreach:</w:t>
      </w:r>
      <w:r>
        <w:rPr/>
        <w:t xml:space="preserve"> Novitas, Palmetto, and CGS have all received HealthCo dossier submissions; preliminary feedback is constructive</w:t>
      </w:r>
    </w:p>
    <w:p>
      <w:pPr>
        <w:pStyle w:val="ListBullet"/>
      </w:pPr>
      <w:r>
        <w:rPr>
          <w:b/>
        </w:rPr>
        <w:t>Outlook:</w:t>
      </w:r>
      <w:r>
        <w:rPr/>
        <w:t xml:space="preserve"> a positive LCD posture from the dominant MAC for amyloidosis-heavy geographies (largely the Northeast and Florida) is plausible in FY27</w:t>
      </w:r>
    </w:p>
    <w:p>
      <w:pPr>
        <w:pStyle w:val="Heading1"/>
      </w:pPr>
      <w:r/>
      <w:r>
        <w:rPr/>
        <w:t>Commercial Payer Coverage Matrix</w:t>
      </w:r>
    </w:p>
    <w:p>
      <w:r>
        <w:rPr/>
        <w:t>The following matrix summarizes HealthCo's outreach status with major commercial payers: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Payer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UnitedHealthcare</w:t>
            </w:r>
          </w:p>
        </w:tc>
        <w:tc>
          <w:tcPr>
            <w:tcW w:type="dxa" w:w="2880"/>
          </w:tcPr>
          <w:p>
            <w:r/>
            <w:r>
              <w:rPr/>
              <w:t>Initial dossier review</w:t>
            </w:r>
          </w:p>
        </w:tc>
        <w:tc>
          <w:tcPr>
            <w:tcW w:type="dxa" w:w="2880"/>
          </w:tcPr>
          <w:p>
            <w:r/>
            <w:r>
              <w:rPr/>
              <w:t>Engaged with imaging policy team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Anthem (Elevance)</w:t>
            </w:r>
          </w:p>
        </w:tc>
        <w:tc>
          <w:tcPr>
            <w:tcW w:type="dxa" w:w="2880"/>
          </w:tcPr>
          <w:p>
            <w:r/>
            <w:r>
              <w:rPr/>
              <w:t>Pilot collaboration</w:t>
            </w:r>
          </w:p>
        </w:tc>
        <w:tc>
          <w:tcPr>
            <w:tcW w:type="dxa" w:w="2880"/>
          </w:tcPr>
          <w:p>
            <w:r/>
            <w:r>
              <w:rPr/>
              <w:t>Pilot site (Atrium/Banner) overlap drives engagement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Aetna (CVS Health)</w:t>
            </w:r>
          </w:p>
        </w:tc>
        <w:tc>
          <w:tcPr>
            <w:tcW w:type="dxa" w:w="2880"/>
          </w:tcPr>
          <w:p>
            <w:r/>
            <w:r>
              <w:rPr/>
              <w:t>Awaiting policy review</w:t>
            </w:r>
          </w:p>
        </w:tc>
        <w:tc>
          <w:tcPr>
            <w:tcW w:type="dxa" w:w="2880"/>
          </w:tcPr>
          <w:p>
            <w:r/>
            <w:r>
              <w:rPr/>
              <w:t>Standard review cycle 9 – 12 months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Blue Cross Blue Shield Association</w:t>
            </w:r>
          </w:p>
        </w:tc>
        <w:tc>
          <w:tcPr>
            <w:tcW w:type="dxa" w:w="2880"/>
          </w:tcPr>
          <w:p>
            <w:r/>
            <w:r>
              <w:rPr/>
              <w:t>Multi-plan; engaged at BCBSA technology assessment</w:t>
            </w:r>
          </w:p>
        </w:tc>
        <w:tc>
          <w:tcPr>
            <w:tcW w:type="dxa" w:w="2880"/>
          </w:tcPr>
          <w:p>
            <w:r/>
            <w:r>
              <w:rPr/>
              <w:t>TEC review under consideration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Humana</w:t>
            </w:r>
          </w:p>
        </w:tc>
        <w:tc>
          <w:tcPr>
            <w:tcW w:type="dxa" w:w="2880"/>
          </w:tcPr>
          <w:p>
            <w:r/>
            <w:r>
              <w:rPr/>
              <w:t>Initial outreach</w:t>
            </w:r>
          </w:p>
        </w:tc>
        <w:tc>
          <w:tcPr>
            <w:tcW w:type="dxa" w:w="2880"/>
          </w:tcPr>
          <w:p>
            <w:r/>
            <w:r>
              <w:rPr/>
              <w:t>MA-heavy geography of pilot sites supports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Kaiser Permanente</w:t>
            </w:r>
          </w:p>
        </w:tc>
        <w:tc>
          <w:tcPr>
            <w:tcW w:type="dxa" w:w="2880"/>
          </w:tcPr>
          <w:p>
            <w:r/>
            <w:r>
              <w:rPr/>
              <w:t>Internal — not relevant for fee-for-service</w:t>
            </w:r>
          </w:p>
        </w:tc>
        <w:tc>
          <w:tcPr>
            <w:tcW w:type="dxa" w:w="2880"/>
          </w:tcPr>
          <w:p>
            <w:r/>
            <w:r>
              <w:rPr/>
              <w:t>KP is largely capitated; HealthCo offers a different commercial construct</w:t>
            </w:r>
          </w:p>
        </w:tc>
      </w:tr>
    </w:tbl>
    <w:p>
      <w:pPr>
        <w:pStyle w:val="Heading1"/>
      </w:pPr>
      <w:r/>
      <w:r>
        <w:rPr/>
        <w:t>Outpatient vs. Inpatient</w:t>
      </w:r>
    </w:p>
    <w:p>
      <w:r>
        <w:rPr/>
        <w:t>EchoPilot results are produced from outpatient and inpatient echo workflows alike. Outpatient billing is the primary pathway. Inpatient utilization is reimbursed under DRG aggregation (no separate code), but improves length-of-stay and time-to-treatment metrics — a cost-of-care story HealthCo also leverages with hospital CFOs.</w:t>
      </w:r>
    </w:p>
    <w:p>
      <w:pPr>
        <w:pStyle w:val="Heading1"/>
      </w:pPr>
      <w:r/>
      <w:r>
        <w:rPr/>
        <w:t>Revenue Model Implications</w:t>
      </w:r>
    </w:p>
    <w:p>
      <w:r>
        <w:rPr/>
        <w:t>HealthCo's commercial model assumes a stepped revenue evolution:</w:t>
      </w:r>
    </w:p>
    <w:p>
      <w:pPr>
        <w:pStyle w:val="ListNumber"/>
      </w:pPr>
      <w:r>
        <w:rPr>
          <w:b/>
        </w:rPr>
        <w:t>Today:</w:t>
      </w:r>
      <w:r>
        <w:rPr/>
        <w:t xml:space="preserve"> per-study analysis fee under MSA, ~$20-30 per analyzed study</w:t>
      </w:r>
    </w:p>
    <w:p>
      <w:pPr>
        <w:pStyle w:val="ListNumber"/>
      </w:pPr>
      <w:r>
        <w:rPr>
          <w:b/>
        </w:rPr>
        <w:t>FY26-27:</w:t>
      </w:r>
      <w:r>
        <w:rPr/>
        <w:t xml:space="preserve"> mixed — MSA fees plus increasing CPT 0623T billing where commercial coverage allows</w:t>
      </w:r>
    </w:p>
    <w:p>
      <w:pPr>
        <w:pStyle w:val="ListNumber"/>
      </w:pPr>
      <w:r>
        <w:rPr>
          <w:b/>
        </w:rPr>
        <w:t>FY28+:</w:t>
      </w:r>
      <w:r>
        <w:rPr/>
        <w:t xml:space="preserve"> dedicated Category I CPT (or carrier-favorable 0623T pricing) drives a per-study reimbursed economics that supports broader community-cardiology adoption beyond academic and IDN beachheads</w:t>
      </w:r>
    </w:p>
    <w:p>
      <w:r>
        <w:rPr/>
        <w:t xml:space="preserve">The financial model in </w:t>
      </w:r>
      <w:r>
        <w:rPr>
          <w:rFonts w:ascii="Consolas" w:hAnsi="Consolas"/>
          <w:sz w:val="20"/>
        </w:rPr>
        <w:t>../../model/financial_model.xlsx</w:t>
      </w:r>
      <w:r>
        <w:rPr/>
        <w:t xml:space="preserve"> (tab: Revenue) reflects this evolution explicitly.</w:t>
      </w:r>
    </w:p>
    <w:p>
      <w:pPr>
        <w:pStyle w:val="Heading1"/>
      </w:pPr>
      <w:r/>
      <w:r>
        <w:rPr/>
        <w:t>Risks</w:t>
      </w:r>
    </w:p>
    <w:p>
      <w:pPr>
        <w:pStyle w:val="ListBullet"/>
      </w:pPr>
      <w:r>
        <w:rPr>
          <w:b/>
        </w:rPr>
        <w:t>CPT timing slip</w:t>
      </w:r>
      <w:r>
        <w:rPr/>
        <w:t xml:space="preserve"> — Category III to Category I conversion is unpredictable; one-cycle slip moves the dedicated-CPT date from 2027 to 2028. Modeled in the bear case.</w:t>
      </w:r>
    </w:p>
    <w:p>
      <w:pPr>
        <w:pStyle w:val="ListBullet"/>
      </w:pPr>
      <w:r>
        <w:rPr>
          <w:b/>
        </w:rPr>
        <w:t>MAC posture shift</w:t>
      </w:r>
      <w:r>
        <w:rPr/>
        <w:t xml:space="preserve"> — MAC LCD policies can change with administrator turnover. Mitigant: parallel outreach, evidence-base depth, KOL relationships.</w:t>
      </w:r>
    </w:p>
    <w:p>
      <w:pPr>
        <w:pStyle w:val="ListBullet"/>
      </w:pPr>
      <w:r>
        <w:rPr>
          <w:b/>
        </w:rPr>
        <w:t>Therapy-side macro</w:t>
      </w:r>
      <w:r>
        <w:rPr/>
        <w:t xml:space="preserve"> — see </w:t>
      </w:r>
      <w:r>
        <w:rPr>
          <w:rFonts w:ascii="Consolas" w:hAnsi="Consolas"/>
          <w:sz w:val="20"/>
        </w:rPr>
        <w:t>competitive-landscape.md</w:t>
      </w:r>
      <w:r>
        <w:rPr/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