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07 — Financials</w:t>
      </w:r>
    </w:p>
    <w:p>
      <w:pPr>
        <w:pStyle w:val="IntenseQuote"/>
      </w:pPr>
      <w:r>
        <w:rPr>
          <w:i/>
        </w:rPr>
        <w:t xml:space="preserve">Sample folder. Documents historical results, current burn, and runway. Live model and proforma are in </w:t>
      </w:r>
      <w:r>
        <w:rPr>
          <w:rFonts w:ascii="Consolas" w:hAnsi="Consolas"/>
          <w:sz w:val="20"/>
        </w:rPr>
        <w:t>../../model/</w:t>
      </w:r>
      <w:r>
        <w:rPr>
          <w:i/>
        </w:rPr>
        <w:t>.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historical-actuals-summary.md</w:t>
      </w:r>
      <w:r>
        <w:rPr/>
        <w:t xml:space="preserve"> — 2022 / 2023 / 2024 P&amp;L summary, key metrics</w:t>
      </w:r>
    </w:p>
    <w:p>
      <w:pPr>
        <w:pStyle w:val="ListBullet"/>
      </w:pPr>
      <w:r>
        <w:rPr>
          <w:rFonts w:ascii="Consolas" w:hAnsi="Consolas"/>
          <w:sz w:val="20"/>
        </w:rPr>
        <w:t>model-pointer.md</w:t>
      </w:r>
      <w:r>
        <w:rPr/>
        <w:t xml:space="preserve"> — pointer to financial_model.xlsx and proforma.xlsx</w:t>
      </w:r>
    </w:p>
    <w:p>
      <w:pPr>
        <w:pStyle w:val="ListBullet"/>
      </w:pPr>
      <w:r>
        <w:rPr>
          <w:rFonts w:ascii="Consolas" w:hAnsi="Consolas"/>
          <w:sz w:val="20"/>
        </w:rPr>
        <w:t>runway-and-burn.md</w:t>
      </w:r>
      <w:r>
        <w:rPr/>
        <w:t xml:space="preserve"> — current burn, cash, runway scenarios</w:t>
      </w:r>
    </w:p>
    <w:p>
      <w:pPr>
        <w:pStyle w:val="Heading1"/>
      </w:pPr>
      <w:r/>
      <w:r>
        <w:rPr/>
        <w:t>Tier mapping</w:t>
      </w:r>
    </w:p>
    <w:p>
      <w:r>
        <w:rPr/>
        <w:t>| Document | Tier 1 | Tier 2 | Tier 3 | |----------|:-:|:-:|:-:| | historical-actuals-summary.md (high level) |   | x | x | | model-pointer.md |   | x | x | | runway-and-burn.md |   | x | x | | Audited financials |   |   | x | | Vendor-level expense detail |   |   | x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