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Historical Actuals Summary</w:t>
      </w:r>
    </w:p>
    <w:p>
      <w:pPr>
        <w:pStyle w:val="IntenseQuote"/>
      </w:pPr>
      <w:r>
        <w:rPr>
          <w:i/>
        </w:rPr>
        <w:t>Sample document. Numbers are illustrative and internally consistent across the data room.</w:t>
      </w:r>
    </w:p>
    <w:p>
      <w:pPr>
        <w:pStyle w:val="Heading1"/>
      </w:pPr>
      <w:r/>
      <w:r>
        <w:rPr/>
        <w:t>Three-Year P&amp;L Summary</w:t>
      </w:r>
    </w:p>
    <w:p>
      <w:r>
        <w:rPr/>
        <w:t>All figures in USD thousands, GAAP basis. FY = calendar year.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Line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FY2022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FY2023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FY2024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Pilot / contract revenue</w:t>
            </w:r>
          </w:p>
        </w:tc>
        <w:tc>
          <w:tcPr>
            <w:tcW w:type="dxa" w:w="2160"/>
          </w:tcPr>
          <w:p>
            <w:r/>
            <w:r>
              <w:rPr/>
              <w:t>0</w:t>
            </w:r>
          </w:p>
        </w:tc>
        <w:tc>
          <w:tcPr>
            <w:tcW w:type="dxa" w:w="2160"/>
          </w:tcPr>
          <w:p>
            <w:r/>
            <w:r>
              <w:rPr/>
              <w:t>380</w:t>
            </w:r>
          </w:p>
        </w:tc>
        <w:tc>
          <w:tcPr>
            <w:tcW w:type="dxa" w:w="2160"/>
          </w:tcPr>
          <w:p>
            <w:r/>
            <w:r>
              <w:rPr/>
              <w:t>1,420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Other revenue (research grants)</w:t>
            </w:r>
          </w:p>
        </w:tc>
        <w:tc>
          <w:tcPr>
            <w:tcW w:type="dxa" w:w="2160"/>
          </w:tcPr>
          <w:p>
            <w:r/>
            <w:r>
              <w:rPr/>
              <w:t>240</w:t>
            </w:r>
          </w:p>
        </w:tc>
        <w:tc>
          <w:tcPr>
            <w:tcW w:type="dxa" w:w="2160"/>
          </w:tcPr>
          <w:p>
            <w:r/>
            <w:r>
              <w:rPr/>
              <w:t>320</w:t>
            </w:r>
          </w:p>
        </w:tc>
        <w:tc>
          <w:tcPr>
            <w:tcW w:type="dxa" w:w="2160"/>
          </w:tcPr>
          <w:p>
            <w:r/>
            <w:r>
              <w:rPr/>
              <w:t>175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 revenue</w:t>
            </w:r>
          </w:p>
        </w:tc>
        <w:tc>
          <w:tcPr>
            <w:tcW w:type="dxa" w:w="2160"/>
          </w:tcPr>
          <w:p>
            <w:r/>
            <w:r>
              <w:rPr/>
              <w:t>240</w:t>
            </w:r>
          </w:p>
        </w:tc>
        <w:tc>
          <w:tcPr>
            <w:tcW w:type="dxa" w:w="2160"/>
          </w:tcPr>
          <w:p>
            <w:r/>
            <w:r>
              <w:rPr/>
              <w:t>700</w:t>
            </w:r>
          </w:p>
        </w:tc>
        <w:tc>
          <w:tcPr>
            <w:tcW w:type="dxa" w:w="2160"/>
          </w:tcPr>
          <w:p>
            <w:r/>
            <w:r>
              <w:rPr/>
              <w:t>1,595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Cost of revenue</w:t>
            </w:r>
          </w:p>
        </w:tc>
        <w:tc>
          <w:tcPr>
            <w:tcW w:type="dxa" w:w="2160"/>
          </w:tcPr>
          <w:p>
            <w:r/>
            <w:r>
              <w:rPr/>
              <w:t>(110)</w:t>
            </w:r>
          </w:p>
        </w:tc>
        <w:tc>
          <w:tcPr>
            <w:tcW w:type="dxa" w:w="2160"/>
          </w:tcPr>
          <w:p>
            <w:r/>
            <w:r>
              <w:rPr/>
              <w:t>(390)</w:t>
            </w:r>
          </w:p>
        </w:tc>
        <w:tc>
          <w:tcPr>
            <w:tcW w:type="dxa" w:w="2160"/>
          </w:tcPr>
          <w:p>
            <w:r/>
            <w:r>
              <w:rPr/>
              <w:t>(820)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Gross profit</w:t>
            </w:r>
          </w:p>
        </w:tc>
        <w:tc>
          <w:tcPr>
            <w:tcW w:type="dxa" w:w="2160"/>
          </w:tcPr>
          <w:p>
            <w:r/>
            <w:r>
              <w:rPr/>
              <w:t>130</w:t>
            </w:r>
          </w:p>
        </w:tc>
        <w:tc>
          <w:tcPr>
            <w:tcW w:type="dxa" w:w="2160"/>
          </w:tcPr>
          <w:p>
            <w:r/>
            <w:r>
              <w:rPr/>
              <w:t>310</w:t>
            </w:r>
          </w:p>
        </w:tc>
        <w:tc>
          <w:tcPr>
            <w:tcW w:type="dxa" w:w="2160"/>
          </w:tcPr>
          <w:p>
            <w:r/>
            <w:r>
              <w:rPr/>
              <w:t>775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Gross margin</w:t>
            </w:r>
          </w:p>
        </w:tc>
        <w:tc>
          <w:tcPr>
            <w:tcW w:type="dxa" w:w="2160"/>
          </w:tcPr>
          <w:p>
            <w:r/>
            <w:r>
              <w:rPr/>
              <w:t>54%</w:t>
            </w:r>
          </w:p>
        </w:tc>
        <w:tc>
          <w:tcPr>
            <w:tcW w:type="dxa" w:w="2160"/>
          </w:tcPr>
          <w:p>
            <w:r/>
            <w:r>
              <w:rPr/>
              <w:t>44%</w:t>
            </w:r>
          </w:p>
        </w:tc>
        <w:tc>
          <w:tcPr>
            <w:tcW w:type="dxa" w:w="2160"/>
          </w:tcPr>
          <w:p>
            <w:r/>
            <w:r>
              <w:rPr/>
              <w:t>49%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R&amp;D expense</w:t>
            </w:r>
          </w:p>
        </w:tc>
        <w:tc>
          <w:tcPr>
            <w:tcW w:type="dxa" w:w="2160"/>
          </w:tcPr>
          <w:p>
            <w:r/>
            <w:r>
              <w:rPr/>
              <w:t>(1,840)</w:t>
            </w:r>
          </w:p>
        </w:tc>
        <w:tc>
          <w:tcPr>
            <w:tcW w:type="dxa" w:w="2160"/>
          </w:tcPr>
          <w:p>
            <w:r/>
            <w:r>
              <w:rPr/>
              <w:t>(3,210)</w:t>
            </w:r>
          </w:p>
        </w:tc>
        <w:tc>
          <w:tcPr>
            <w:tcW w:type="dxa" w:w="2160"/>
          </w:tcPr>
          <w:p>
            <w:r/>
            <w:r>
              <w:rPr/>
              <w:t>(3,990)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Clinical expense</w:t>
            </w:r>
          </w:p>
        </w:tc>
        <w:tc>
          <w:tcPr>
            <w:tcW w:type="dxa" w:w="2160"/>
          </w:tcPr>
          <w:p>
            <w:r/>
            <w:r>
              <w:rPr/>
              <w:t>(310)</w:t>
            </w:r>
          </w:p>
        </w:tc>
        <w:tc>
          <w:tcPr>
            <w:tcW w:type="dxa" w:w="2160"/>
          </w:tcPr>
          <w:p>
            <w:r/>
            <w:r>
              <w:rPr/>
              <w:t>(740)</w:t>
            </w:r>
          </w:p>
        </w:tc>
        <w:tc>
          <w:tcPr>
            <w:tcW w:type="dxa" w:w="2160"/>
          </w:tcPr>
          <w:p>
            <w:r/>
            <w:r>
              <w:rPr/>
              <w:t>(1,180)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Regulatory &amp; quality</w:t>
            </w:r>
          </w:p>
        </w:tc>
        <w:tc>
          <w:tcPr>
            <w:tcW w:type="dxa" w:w="2160"/>
          </w:tcPr>
          <w:p>
            <w:r/>
            <w:r>
              <w:rPr/>
              <w:t>(180)</w:t>
            </w:r>
          </w:p>
        </w:tc>
        <w:tc>
          <w:tcPr>
            <w:tcW w:type="dxa" w:w="2160"/>
          </w:tcPr>
          <w:p>
            <w:r/>
            <w:r>
              <w:rPr/>
              <w:t>(520)</w:t>
            </w:r>
          </w:p>
        </w:tc>
        <w:tc>
          <w:tcPr>
            <w:tcW w:type="dxa" w:w="2160"/>
          </w:tcPr>
          <w:p>
            <w:r/>
            <w:r>
              <w:rPr/>
              <w:t>(840)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Sales &amp; marketing</w:t>
            </w:r>
          </w:p>
        </w:tc>
        <w:tc>
          <w:tcPr>
            <w:tcW w:type="dxa" w:w="2160"/>
          </w:tcPr>
          <w:p>
            <w:r/>
            <w:r>
              <w:rPr/>
              <w:t>(95)</w:t>
            </w:r>
          </w:p>
        </w:tc>
        <w:tc>
          <w:tcPr>
            <w:tcW w:type="dxa" w:w="2160"/>
          </w:tcPr>
          <w:p>
            <w:r/>
            <w:r>
              <w:rPr/>
              <w:t>(440)</w:t>
            </w:r>
          </w:p>
        </w:tc>
        <w:tc>
          <w:tcPr>
            <w:tcW w:type="dxa" w:w="2160"/>
          </w:tcPr>
          <w:p>
            <w:r/>
            <w:r>
              <w:rPr/>
              <w:t>(1,310)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G&amp;A</w:t>
            </w:r>
          </w:p>
        </w:tc>
        <w:tc>
          <w:tcPr>
            <w:tcW w:type="dxa" w:w="2160"/>
          </w:tcPr>
          <w:p>
            <w:r/>
            <w:r>
              <w:rPr/>
              <w:t>(380)</w:t>
            </w:r>
          </w:p>
        </w:tc>
        <w:tc>
          <w:tcPr>
            <w:tcW w:type="dxa" w:w="2160"/>
          </w:tcPr>
          <w:p>
            <w:r/>
            <w:r>
              <w:rPr/>
              <w:t>(760)</w:t>
            </w:r>
          </w:p>
        </w:tc>
        <w:tc>
          <w:tcPr>
            <w:tcW w:type="dxa" w:w="2160"/>
          </w:tcPr>
          <w:p>
            <w:r/>
            <w:r>
              <w:rPr/>
              <w:t>(1,180)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Operating loss</w:t>
            </w:r>
          </w:p>
        </w:tc>
        <w:tc>
          <w:tcPr>
            <w:tcW w:type="dxa" w:w="2160"/>
          </w:tcPr>
          <w:p>
            <w:r/>
            <w:r>
              <w:rPr/>
              <w:t>(2,675)</w:t>
            </w:r>
          </w:p>
        </w:tc>
        <w:tc>
          <w:tcPr>
            <w:tcW w:type="dxa" w:w="2160"/>
          </w:tcPr>
          <w:p>
            <w:r/>
            <w:r>
              <w:rPr/>
              <w:t>(5,360)</w:t>
            </w:r>
          </w:p>
        </w:tc>
        <w:tc>
          <w:tcPr>
            <w:tcW w:type="dxa" w:w="2160"/>
          </w:tcPr>
          <w:p>
            <w:r/>
            <w:r>
              <w:rPr/>
              <w:t>(7,725)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Interest income</w:t>
            </w:r>
          </w:p>
        </w:tc>
        <w:tc>
          <w:tcPr>
            <w:tcW w:type="dxa" w:w="2160"/>
          </w:tcPr>
          <w:p>
            <w:r/>
            <w:r>
              <w:rPr/>
              <w:t>18</w:t>
            </w:r>
          </w:p>
        </w:tc>
        <w:tc>
          <w:tcPr>
            <w:tcW w:type="dxa" w:w="2160"/>
          </w:tcPr>
          <w:p>
            <w:r/>
            <w:r>
              <w:rPr/>
              <w:t>42</w:t>
            </w:r>
          </w:p>
        </w:tc>
        <w:tc>
          <w:tcPr>
            <w:tcW w:type="dxa" w:w="2160"/>
          </w:tcPr>
          <w:p>
            <w:r/>
            <w:r>
              <w:rPr/>
              <w:t>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Net loss</w:t>
            </w:r>
          </w:p>
        </w:tc>
        <w:tc>
          <w:tcPr>
            <w:tcW w:type="dxa" w:w="2160"/>
          </w:tcPr>
          <w:p>
            <w:r/>
            <w:r>
              <w:rPr/>
              <w:t>(2,657)</w:t>
            </w:r>
          </w:p>
        </w:tc>
        <w:tc>
          <w:tcPr>
            <w:tcW w:type="dxa" w:w="2160"/>
          </w:tcPr>
          <w:p>
            <w:r/>
            <w:r>
              <w:rPr/>
              <w:t>(5,318)</w:t>
            </w:r>
          </w:p>
        </w:tc>
        <w:tc>
          <w:tcPr>
            <w:tcW w:type="dxa" w:w="2160"/>
          </w:tcPr>
          <w:p>
            <w:r/>
            <w:r>
              <w:rPr/>
              <w:t>(7,674)</w:t>
            </w:r>
          </w:p>
        </w:tc>
      </w:tr>
    </w:tbl>
    <w:p>
      <w:pPr>
        <w:pStyle w:val="Heading1"/>
      </w:pPr>
      <w:r/>
      <w:r>
        <w:rPr/>
        <w:t>Key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FY2022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FY2023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FY2024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Pilot sites live (year-end)</w:t>
            </w:r>
          </w:p>
        </w:tc>
        <w:tc>
          <w:tcPr>
            <w:tcW w:type="dxa" w:w="2160"/>
          </w:tcPr>
          <w:p>
            <w:r/>
            <w:r>
              <w:rPr/>
              <w:t>0</w:t>
            </w:r>
          </w:p>
        </w:tc>
        <w:tc>
          <w:tcPr>
            <w:tcW w:type="dxa" w:w="2160"/>
          </w:tcPr>
          <w:p>
            <w:r/>
            <w:r>
              <w:rPr/>
              <w:t>2</w:t>
            </w:r>
          </w:p>
        </w:tc>
        <w:tc>
          <w:tcPr>
            <w:tcW w:type="dxa" w:w="2160"/>
          </w:tcPr>
          <w:p>
            <w:r/>
            <w:r>
              <w:rPr/>
              <w:t>5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Pilot sites in active negotiation</w:t>
            </w:r>
          </w:p>
        </w:tc>
        <w:tc>
          <w:tcPr>
            <w:tcW w:type="dxa" w:w="2160"/>
          </w:tcPr>
          <w:p>
            <w:r/>
            <w:r>
              <w:rPr/>
              <w:t>1</w:t>
            </w:r>
          </w:p>
        </w:tc>
        <w:tc>
          <w:tcPr>
            <w:tcW w:type="dxa" w:w="2160"/>
          </w:tcPr>
          <w:p>
            <w:r/>
            <w:r>
              <w:rPr/>
              <w:t>4</w:t>
            </w:r>
          </w:p>
        </w:tc>
        <w:tc>
          <w:tcPr>
            <w:tcW w:type="dxa" w:w="2160"/>
          </w:tcPr>
          <w:p>
            <w:r/>
            <w:r>
              <w:rPr/>
              <w:t>4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Echos analyzed in production (cumulative)</w:t>
            </w:r>
          </w:p>
        </w:tc>
        <w:tc>
          <w:tcPr>
            <w:tcW w:type="dxa" w:w="2160"/>
          </w:tcPr>
          <w:p>
            <w:r/>
            <w:r>
              <w:rPr/>
              <w:t>0</w:t>
            </w:r>
          </w:p>
        </w:tc>
        <w:tc>
          <w:tcPr>
            <w:tcW w:type="dxa" w:w="2160"/>
          </w:tcPr>
          <w:p>
            <w:r/>
            <w:r>
              <w:rPr/>
              <w:t>1,200</w:t>
            </w:r>
          </w:p>
        </w:tc>
        <w:tc>
          <w:tcPr>
            <w:tcW w:type="dxa" w:w="2160"/>
          </w:tcPr>
          <w:p>
            <w:r/>
            <w:r>
              <w:rPr/>
              <w:t>9,800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Cash burn (operating)</w:t>
            </w:r>
          </w:p>
        </w:tc>
        <w:tc>
          <w:tcPr>
            <w:tcW w:type="dxa" w:w="2160"/>
          </w:tcPr>
          <w:p>
            <w:r/>
            <w:r>
              <w:rPr/>
              <w:t>(2,650)</w:t>
            </w:r>
          </w:p>
        </w:tc>
        <w:tc>
          <w:tcPr>
            <w:tcW w:type="dxa" w:w="2160"/>
          </w:tcPr>
          <w:p>
            <w:r/>
            <w:r>
              <w:rPr/>
              <w:t>(5,290)</w:t>
            </w:r>
          </w:p>
        </w:tc>
        <w:tc>
          <w:tcPr>
            <w:tcW w:type="dxa" w:w="2160"/>
          </w:tcPr>
          <w:p>
            <w:r/>
            <w:r>
              <w:rPr/>
              <w:t>(7,640)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Headcount (year-end FTE)</w:t>
            </w:r>
          </w:p>
        </w:tc>
        <w:tc>
          <w:tcPr>
            <w:tcW w:type="dxa" w:w="2160"/>
          </w:tcPr>
          <w:p>
            <w:r/>
            <w:r>
              <w:rPr/>
              <w:t>8</w:t>
            </w:r>
          </w:p>
        </w:tc>
        <w:tc>
          <w:tcPr>
            <w:tcW w:type="dxa" w:w="2160"/>
          </w:tcPr>
          <w:p>
            <w:r/>
            <w:r>
              <w:rPr/>
              <w:t>14</w:t>
            </w:r>
          </w:p>
        </w:tc>
        <w:tc>
          <w:tcPr>
            <w:tcW w:type="dxa" w:w="2160"/>
          </w:tcPr>
          <w:p>
            <w:r/>
            <w:r>
              <w:rPr/>
              <w:t>19</w:t>
            </w:r>
          </w:p>
        </w:tc>
      </w:tr>
    </w:tbl>
    <w:p>
      <w:pPr>
        <w:pStyle w:val="Heading1"/>
      </w:pPr>
      <w:r/>
      <w:r>
        <w:rPr/>
        <w:t>Commentary</w:t>
      </w:r>
    </w:p>
    <w:p>
      <w:pPr>
        <w:pStyle w:val="ListBullet"/>
      </w:pPr>
      <w:r>
        <w:rPr>
          <w:b/>
        </w:rPr>
        <w:t>FY2022</w:t>
      </w:r>
      <w:r>
        <w:rPr/>
        <w:t xml:space="preserve"> — pre-clearance period. Revenue is research-grant only (NIH Phase II SBIR carryover). Burn driven by R&amp;D buildout for the 510(k) submission and seed-round-funded model development.</w:t>
      </w:r>
    </w:p>
    <w:p>
      <w:pPr>
        <w:pStyle w:val="ListBullet"/>
      </w:pPr>
      <w:r>
        <w:rPr>
          <w:b/>
        </w:rPr>
        <w:t>FY2023</w:t>
      </w:r>
      <w:r>
        <w:rPr/>
        <w:t xml:space="preserve"> — first two pilot sites went live (MGB and Cleveland Clinic). Pilot revenue is ramp-period; cost of revenue includes elevated implementation costs associated with first-of-kind PACS integrations. R&amp;D continues to dominate spend; clinical expense grows with the JACC validation study.</w:t>
      </w:r>
    </w:p>
    <w:p>
      <w:pPr>
        <w:pStyle w:val="ListBullet"/>
      </w:pPr>
      <w:r>
        <w:rPr>
          <w:b/>
        </w:rPr>
        <w:t>FY2024</w:t>
      </w:r>
      <w:r>
        <w:rPr/>
        <w:t xml:space="preserve"> — 510(k) cleared in August. Three additional pilots went live during the year (Mayo, Atrium, Banner). Revenue inflection visible. Sales &amp; marketing grew sharply post-clearance to support the GTM motion. Regulatory &amp; quality grew with ISO 13485 certification and De Novo prep.</w:t>
      </w:r>
    </w:p>
    <w:p>
      <w:pPr>
        <w:pStyle w:val="Heading1"/>
      </w:pPr>
      <w:r/>
      <w:r>
        <w:rPr/>
        <w:t>FY2025 Preview (unaudited)</w:t>
      </w:r>
    </w:p>
    <w:p>
      <w:r>
        <w:rPr/>
        <w:t>While outside the audited window, indicative FY2025 figures:</w:t>
      </w:r>
    </w:p>
    <w:p>
      <w:pPr>
        <w:pStyle w:val="ListBullet"/>
      </w:pPr>
      <w:r>
        <w:rPr/>
        <w:t>Total revenue: ~$3.4M (pilot sites at 7; expanded scope at MGB and Cleveland)</w:t>
      </w:r>
    </w:p>
    <w:p>
      <w:pPr>
        <w:pStyle w:val="ListBullet"/>
      </w:pPr>
      <w:r>
        <w:rPr/>
        <w:t>Operating loss: ~$8.9M</w:t>
      </w:r>
    </w:p>
    <w:p>
      <w:pPr>
        <w:pStyle w:val="ListBullet"/>
      </w:pPr>
      <w:r>
        <w:rPr/>
        <w:t>Year-end headcount: 22 FTE</w:t>
      </w:r>
    </w:p>
    <w:p>
      <w:pPr>
        <w:pStyle w:val="ListBullet"/>
      </w:pPr>
      <w:r>
        <w:rPr/>
        <w:t xml:space="preserve">Cash on hand at year-end: ~$2.4M (consistent with </w:t>
      </w:r>
      <w:r>
        <w:rPr>
          <w:rFonts w:ascii="Consolas" w:hAnsi="Consolas"/>
          <w:sz w:val="20"/>
        </w:rPr>
        <w:t>runway-and-burn.md</w:t>
      </w:r>
      <w:r>
        <w:rPr/>
        <w:t>)</w:t>
      </w:r>
    </w:p>
    <w:p>
      <w:pPr>
        <w:pStyle w:val="Heading1"/>
      </w:pPr>
      <w:r/>
      <w:r>
        <w:rPr/>
        <w:t>Audit Status</w:t>
      </w:r>
    </w:p>
    <w:p>
      <w:pPr>
        <w:pStyle w:val="ListBullet"/>
      </w:pPr>
      <w:r>
        <w:rPr/>
        <w:t>FY2022, FY2023, FY2024 — audited by KPMG (regional practice). Clean opinions; no material findings.</w:t>
      </w:r>
    </w:p>
    <w:p>
      <w:pPr>
        <w:pStyle w:val="ListBullet"/>
      </w:pPr>
      <w:r>
        <w:rPr/>
        <w:t>FY2025 — audit in progress; expected completion April 2026.</w:t>
      </w:r>
    </w:p>
    <w:p>
      <w:r>
        <w:rPr/>
        <w:t>The full audited financials, management letters, and footnotes are released to Tier 3 investors under standard NDA and accountant-consent procedures.</w:t>
      </w:r>
    </w:p>
    <w:p>
      <w:pPr>
        <w:pStyle w:val="Heading1"/>
      </w:pPr>
      <w:r/>
      <w:r>
        <w:rPr/>
        <w:t>Notes for Investors</w:t>
      </w:r>
    </w:p>
    <w:p>
      <w:pPr>
        <w:pStyle w:val="ListBullet"/>
      </w:pPr>
      <w:r>
        <w:rPr/>
        <w:t xml:space="preserve">Revenue recognition follows ASC 606; pilot fees recognized over the service period. Proforma "annualized run rate" calculations from current-month MRR are available in </w:t>
      </w:r>
      <w:r>
        <w:rPr>
          <w:rFonts w:ascii="Consolas" w:hAnsi="Consolas"/>
          <w:sz w:val="20"/>
        </w:rPr>
        <w:t>../../model/financial_model.xlsx</w:t>
      </w:r>
      <w:r>
        <w:rPr/>
        <w:t>.</w:t>
      </w:r>
    </w:p>
    <w:p>
      <w:pPr>
        <w:pStyle w:val="ListBullet"/>
      </w:pPr>
      <w:r>
        <w:rPr/>
        <w:t>No revenue is recognized from health systems still in pilot-procurement legal review.</w:t>
      </w:r>
    </w:p>
    <w:p>
      <w:pPr>
        <w:pStyle w:val="ListBullet"/>
      </w:pPr>
      <w:r>
        <w:rPr/>
        <w:t>HealthCo is not yet at scale where unit economics are stable; cohort-level ARR retention will be reportable starting FY2026 once enough pilots have reached renewal 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