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/>
      <w:r>
        <w:rPr/>
        <w:t>Model and Proforma — Pointers</w:t>
      </w:r>
    </w:p>
    <w:p>
      <w:pPr>
        <w:pStyle w:val="IntenseQuote"/>
      </w:pPr>
      <w:r>
        <w:rPr>
          <w:i/>
        </w:rPr>
        <w:t>Sample document. The live financial model and cap-table proforma are spreadsheet artifacts maintained outside the data room.</w:t>
      </w:r>
    </w:p>
    <w:p>
      <w:pPr>
        <w:pStyle w:val="Heading1"/>
      </w:pPr>
      <w:r/>
      <w:r>
        <w:rPr/>
        <w:t>Files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9E2F3"/>
          </w:tcPr>
          <w:p>
            <w:r/>
            <w:r>
              <w:rPr>
                <w:b/>
              </w:rPr>
              <w:t>Artifact</w:t>
            </w:r>
          </w:p>
        </w:tc>
        <w:tc>
          <w:tcPr>
            <w:tcW w:type="dxa" w:w="2880"/>
            <w:shd w:val="clear" w:color="auto" w:fill="D9E2F3"/>
          </w:tcPr>
          <w:p>
            <w:r/>
            <w:r>
              <w:rPr>
                <w:b/>
              </w:rPr>
              <w:t>Path</w:t>
            </w:r>
          </w:p>
        </w:tc>
        <w:tc>
          <w:tcPr>
            <w:tcW w:type="dxa" w:w="2880"/>
            <w:shd w:val="clear" w:color="auto" w:fill="D9E2F3"/>
          </w:tcPr>
          <w:p>
            <w:r/>
            <w:r>
              <w:rPr>
                <w:b/>
              </w:rPr>
              <w:t>Owner</w:t>
            </w:r>
          </w:p>
        </w:tc>
      </w:tr>
      <w:tr>
        <w:tc>
          <w:tcPr>
            <w:tcW w:type="dxa" w:w="2880"/>
          </w:tcPr>
          <w:p>
            <w:r/>
            <w:r>
              <w:rPr/>
              <w:t>Five-year financial model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sz w:val="20"/>
              </w:rPr>
              <w:t>../../model/financial_model.xlsx</w:t>
            </w:r>
          </w:p>
        </w:tc>
        <w:tc>
          <w:tcPr>
            <w:tcW w:type="dxa" w:w="2880"/>
          </w:tcPr>
          <w:p>
            <w:r/>
            <w:r>
              <w:rPr/>
              <w:t>Sarah Whittaker (COO)</w:t>
            </w:r>
          </w:p>
        </w:tc>
      </w:tr>
      <w:tr>
        <w:tc>
          <w:tcPr>
            <w:tcW w:type="dxa" w:w="2880"/>
          </w:tcPr>
          <w:p>
            <w:r/>
            <w:r>
              <w:rPr/>
              <w:t>Series A proforma cap table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sz w:val="20"/>
              </w:rPr>
              <w:t>../../model/proforma.xlsx</w:t>
            </w:r>
          </w:p>
        </w:tc>
        <w:tc>
          <w:tcPr>
            <w:tcW w:type="dxa" w:w="2880"/>
          </w:tcPr>
          <w:p>
            <w:r/>
            <w:r>
              <w:rPr/>
              <w:t>Cooley LLP / Sarah Whittaker</w:t>
            </w:r>
          </w:p>
        </w:tc>
      </w:tr>
    </w:tbl>
    <w:p>
      <w:r>
        <w:rPr/>
        <w:t>These files are version-controlled outside the diligence room; investors at Tier 2 are granted view-and-download access via Datasite. Each download is watermarked with the recipient's name and email.</w:t>
      </w:r>
    </w:p>
    <w:p>
      <w:pPr>
        <w:pStyle w:val="Heading1"/>
      </w:pPr>
      <w:r/>
      <w:r>
        <w:rPr/>
        <w:t>financial_model.xlsx — Tab Map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9E2F3"/>
          </w:tcPr>
          <w:p>
            <w:r/>
            <w:r>
              <w:rPr>
                <w:b/>
              </w:rPr>
              <w:t>Tab</w:t>
            </w:r>
          </w:p>
        </w:tc>
        <w:tc>
          <w:tcPr>
            <w:tcW w:type="dxa" w:w="4320"/>
            <w:shd w:val="clear" w:color="auto" w:fill="D9E2F3"/>
          </w:tcPr>
          <w:p>
            <w:r/>
            <w:r>
              <w:rPr>
                <w:b/>
              </w:rPr>
              <w:t>Contents</w:t>
            </w:r>
          </w:p>
        </w:tc>
      </w:tr>
      <w:tr>
        <w:tc>
          <w:tcPr>
            <w:tcW w:type="dxa" w:w="4320"/>
          </w:tcPr>
          <w:p>
            <w:r/>
            <w:r>
              <w:rPr/>
              <w:t>Cover</w:t>
            </w:r>
          </w:p>
        </w:tc>
        <w:tc>
          <w:tcPr>
            <w:tcW w:type="dxa" w:w="4320"/>
          </w:tcPr>
          <w:p>
            <w:r/>
            <w:r>
              <w:rPr/>
              <w:t>Version, date, change log</w:t>
            </w:r>
          </w:p>
        </w:tc>
      </w:tr>
      <w:tr>
        <w:tc>
          <w:tcPr>
            <w:tcW w:type="dxa" w:w="4320"/>
          </w:tcPr>
          <w:p>
            <w:r/>
            <w:r>
              <w:rPr/>
              <w:t>Assumptions</w:t>
            </w:r>
          </w:p>
        </w:tc>
        <w:tc>
          <w:tcPr>
            <w:tcW w:type="dxa" w:w="4320"/>
          </w:tcPr>
          <w:p>
            <w:r/>
            <w:r>
              <w:rPr/>
              <w:t>Bottom-up assumptions: per-study fees, beachhead share, penetration, per-FTE costs, etc. Toggleable Bear/Base/Bull</w:t>
            </w:r>
          </w:p>
        </w:tc>
      </w:tr>
      <w:tr>
        <w:tc>
          <w:tcPr>
            <w:tcW w:type="dxa" w:w="4320"/>
          </w:tcPr>
          <w:p>
            <w:r/>
            <w:r>
              <w:rPr/>
              <w:t>Revenue</w:t>
            </w:r>
          </w:p>
        </w:tc>
        <w:tc>
          <w:tcPr>
            <w:tcW w:type="dxa" w:w="4320"/>
          </w:tcPr>
          <w:p>
            <w:r/>
            <w:r>
              <w:rPr/>
              <w:t>Revenue build by site, by service line (core amyloidosis, cardio-oncology, HCM), by contract type (MSA fee vs CPT-billed)</w:t>
            </w:r>
          </w:p>
        </w:tc>
      </w:tr>
      <w:tr>
        <w:tc>
          <w:tcPr>
            <w:tcW w:type="dxa" w:w="4320"/>
          </w:tcPr>
          <w:p>
            <w:r/>
            <w:r>
              <w:rPr/>
              <w:t>Headcount</w:t>
            </w:r>
          </w:p>
        </w:tc>
        <w:tc>
          <w:tcPr>
            <w:tcW w:type="dxa" w:w="4320"/>
          </w:tcPr>
          <w:p>
            <w:r/>
            <w:r>
              <w:rPr/>
              <w:t>Hiring plan with timing, salary, fully loaded cost, function tags</w:t>
            </w:r>
          </w:p>
        </w:tc>
      </w:tr>
      <w:tr>
        <w:tc>
          <w:tcPr>
            <w:tcW w:type="dxa" w:w="4320"/>
          </w:tcPr>
          <w:p>
            <w:r/>
            <w:r>
              <w:rPr/>
              <w:t>OpEx</w:t>
            </w:r>
          </w:p>
        </w:tc>
        <w:tc>
          <w:tcPr>
            <w:tcW w:type="dxa" w:w="4320"/>
          </w:tcPr>
          <w:p>
            <w:r/>
            <w:r>
              <w:rPr/>
              <w:t>R&amp;D, clinical, regulatory, sales/marketing, G&amp;A — built up from headcount + non-headcount</w:t>
            </w:r>
          </w:p>
        </w:tc>
      </w:tr>
      <w:tr>
        <w:tc>
          <w:tcPr>
            <w:tcW w:type="dxa" w:w="4320"/>
          </w:tcPr>
          <w:p>
            <w:r/>
            <w:r>
              <w:rPr/>
              <w:t>P&amp;L</w:t>
            </w:r>
          </w:p>
        </w:tc>
        <w:tc>
          <w:tcPr>
            <w:tcW w:type="dxa" w:w="4320"/>
          </w:tcPr>
          <w:p>
            <w:r/>
            <w:r>
              <w:rPr/>
              <w:t>Five-year P&amp;L by quarter, summarized by year</w:t>
            </w:r>
          </w:p>
        </w:tc>
      </w:tr>
      <w:tr>
        <w:tc>
          <w:tcPr>
            <w:tcW w:type="dxa" w:w="4320"/>
          </w:tcPr>
          <w:p>
            <w:r/>
            <w:r>
              <w:rPr/>
              <w:t>Cash Flow</w:t>
            </w:r>
          </w:p>
        </w:tc>
        <w:tc>
          <w:tcPr>
            <w:tcW w:type="dxa" w:w="4320"/>
          </w:tcPr>
          <w:p>
            <w:r/>
            <w:r>
              <w:rPr/>
              <w:t>Indirect-method cash flow; reconciles to balance sheet</w:t>
            </w:r>
          </w:p>
        </w:tc>
      </w:tr>
      <w:tr>
        <w:tc>
          <w:tcPr>
            <w:tcW w:type="dxa" w:w="4320"/>
          </w:tcPr>
          <w:p>
            <w:r/>
            <w:r>
              <w:rPr/>
              <w:t>Balance Sheet</w:t>
            </w:r>
          </w:p>
        </w:tc>
        <w:tc>
          <w:tcPr>
            <w:tcW w:type="dxa" w:w="4320"/>
          </w:tcPr>
          <w:p>
            <w:r/>
            <w:r>
              <w:rPr/>
              <w:t>Five-year forecast</w:t>
            </w:r>
          </w:p>
        </w:tc>
      </w:tr>
      <w:tr>
        <w:tc>
          <w:tcPr>
            <w:tcW w:type="dxa" w:w="4320"/>
          </w:tcPr>
          <w:p>
            <w:r/>
            <w:r>
              <w:rPr/>
              <w:t>KPIs</w:t>
            </w:r>
          </w:p>
        </w:tc>
        <w:tc>
          <w:tcPr>
            <w:tcW w:type="dxa" w:w="4320"/>
          </w:tcPr>
          <w:p>
            <w:r/>
            <w:r>
              <w:rPr/>
              <w:t>Revenue per FTE, gross margin, burn multiple, cash conversion, pilot LTV/CAC</w:t>
            </w:r>
          </w:p>
        </w:tc>
      </w:tr>
      <w:tr>
        <w:tc>
          <w:tcPr>
            <w:tcW w:type="dxa" w:w="4320"/>
          </w:tcPr>
          <w:p>
            <w:r/>
            <w:r>
              <w:rPr/>
              <w:t>Sensitivities</w:t>
            </w:r>
          </w:p>
        </w:tc>
        <w:tc>
          <w:tcPr>
            <w:tcW w:type="dxa" w:w="4320"/>
          </w:tcPr>
          <w:p>
            <w:r/>
            <w:r>
              <w:rPr/>
              <w:t>Tornado chart on top assumptions</w:t>
            </w:r>
          </w:p>
        </w:tc>
      </w:tr>
      <w:tr>
        <w:tc>
          <w:tcPr>
            <w:tcW w:type="dxa" w:w="4320"/>
          </w:tcPr>
          <w:p>
            <w:r/>
            <w:r>
              <w:rPr/>
              <w:t>Scenarios</w:t>
            </w:r>
          </w:p>
        </w:tc>
        <w:tc>
          <w:tcPr>
            <w:tcW w:type="dxa" w:w="4320"/>
          </w:tcPr>
          <w:p>
            <w:r/>
            <w:r>
              <w:rPr/>
              <w:t>Bear / Base / Bull side-by-side</w:t>
            </w:r>
          </w:p>
        </w:tc>
      </w:tr>
    </w:tbl>
    <w:p>
      <w:pPr>
        <w:pStyle w:val="Heading1"/>
      </w:pPr>
      <w:r/>
      <w:r>
        <w:rPr/>
        <w:t>proforma.xlsx — Tab Map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9E2F3"/>
          </w:tcPr>
          <w:p>
            <w:r/>
            <w:r>
              <w:rPr>
                <w:b/>
              </w:rPr>
              <w:t>Tab</w:t>
            </w:r>
          </w:p>
        </w:tc>
        <w:tc>
          <w:tcPr>
            <w:tcW w:type="dxa" w:w="4320"/>
            <w:shd w:val="clear" w:color="auto" w:fill="D9E2F3"/>
          </w:tcPr>
          <w:p>
            <w:r/>
            <w:r>
              <w:rPr>
                <w:b/>
              </w:rPr>
              <w:t>Contents</w:t>
            </w:r>
          </w:p>
        </w:tc>
      </w:tr>
      <w:tr>
        <w:tc>
          <w:tcPr>
            <w:tcW w:type="dxa" w:w="4320"/>
          </w:tcPr>
          <w:p>
            <w:r/>
            <w:r>
              <w:rPr/>
              <w:t>Current</w:t>
            </w:r>
          </w:p>
        </w:tc>
        <w:tc>
          <w:tcPr>
            <w:tcW w:type="dxa" w:w="4320"/>
          </w:tcPr>
          <w:p>
            <w:r/>
            <w:r>
              <w:rPr/>
              <w:t>Pre-Series-A cap table</w:t>
            </w:r>
          </w:p>
        </w:tc>
      </w:tr>
      <w:tr>
        <w:tc>
          <w:tcPr>
            <w:tcW w:type="dxa" w:w="4320"/>
          </w:tcPr>
          <w:p>
            <w:r/>
            <w:r>
              <w:rPr/>
              <w:t>ProForma</w:t>
            </w:r>
          </w:p>
        </w:tc>
        <w:tc>
          <w:tcPr>
            <w:tcW w:type="dxa" w:w="4320"/>
          </w:tcPr>
          <w:p>
            <w:r/>
            <w:r>
              <w:rPr/>
              <w:t>Post-Series-A cap table at proposed terms ($15M / $50M pre / 15% pool refresh)</w:t>
            </w:r>
          </w:p>
        </w:tc>
      </w:tr>
      <w:tr>
        <w:tc>
          <w:tcPr>
            <w:tcW w:type="dxa" w:w="4320"/>
          </w:tcPr>
          <w:p>
            <w:r/>
            <w:r>
              <w:rPr/>
              <w:t>Sensitivity</w:t>
            </w:r>
          </w:p>
        </w:tc>
        <w:tc>
          <w:tcPr>
            <w:tcW w:type="dxa" w:w="4320"/>
          </w:tcPr>
          <w:p>
            <w:r/>
            <w:r>
              <w:rPr/>
              <w:t>Cap-table sensitivity to round size (10/15/20M) and pre-money (40/50/60M)</w:t>
            </w:r>
          </w:p>
        </w:tc>
      </w:tr>
      <w:tr>
        <w:tc>
          <w:tcPr>
            <w:tcW w:type="dxa" w:w="4320"/>
          </w:tcPr>
          <w:p>
            <w:r/>
            <w:r>
              <w:rPr/>
              <w:t>Waterfall</w:t>
            </w:r>
          </w:p>
        </w:tc>
        <w:tc>
          <w:tcPr>
            <w:tcW w:type="dxa" w:w="4320"/>
          </w:tcPr>
          <w:p>
            <w:r/>
            <w:r>
              <w:rPr/>
              <w:t>Exit waterfall by liquidity scenario ($150M / $300M / $500M / $1B)</w:t>
            </w:r>
          </w:p>
        </w:tc>
      </w:tr>
      <w:tr>
        <w:tc>
          <w:tcPr>
            <w:tcW w:type="dxa" w:w="4320"/>
          </w:tcPr>
          <w:p>
            <w:r/>
            <w:r>
              <w:rPr/>
              <w:t>Option Pool</w:t>
            </w:r>
          </w:p>
        </w:tc>
        <w:tc>
          <w:tcPr>
            <w:tcW w:type="dxa" w:w="4320"/>
          </w:tcPr>
          <w:p>
            <w:r/>
            <w:r>
              <w:rPr/>
              <w:t>Option pool sizing and post-close runway of available options</w:t>
            </w:r>
          </w:p>
        </w:tc>
      </w:tr>
    </w:tbl>
    <w:p>
      <w:pPr>
        <w:pStyle w:val="Heading1"/>
      </w:pPr>
      <w:r/>
      <w:r>
        <w:rPr/>
        <w:t>Standing Assumptions</w:t>
      </w:r>
    </w:p>
    <w:p>
      <w:r>
        <w:rPr/>
        <w:t>The following high-level assumptions drive the model and are highlighted on the Assumptions tab:</w:t>
      </w:r>
    </w:p>
    <w:p>
      <w:pPr>
        <w:pStyle w:val="ListBullet"/>
      </w:pPr>
      <w:r>
        <w:rPr/>
        <w:t xml:space="preserve">Per-study analysis fee: $20 base case (see </w:t>
      </w:r>
      <w:r>
        <w:rPr>
          <w:rFonts w:ascii="Consolas" w:hAnsi="Consolas"/>
          <w:sz w:val="20"/>
        </w:rPr>
        <w:t>06-Market-Competitive/market-sizing-tam-sam-som.md</w:t>
      </w:r>
      <w:r>
        <w:rPr/>
        <w:t xml:space="preserve"> for the Bear/Bull range)</w:t>
      </w:r>
    </w:p>
    <w:p>
      <w:pPr>
        <w:pStyle w:val="ListBullet"/>
      </w:pPr>
      <w:r>
        <w:rPr/>
        <w:t>Sales coverage: enterprise direct (5 reps post Series A); IDN-focused channel</w:t>
      </w:r>
    </w:p>
    <w:p>
      <w:pPr>
        <w:pStyle w:val="ListBullet"/>
      </w:pPr>
      <w:r>
        <w:rPr/>
        <w:t>Gross margin steady-state: ~75% (cloud cost dominant; scales with volume)</w:t>
      </w:r>
    </w:p>
    <w:p>
      <w:pPr>
        <w:pStyle w:val="ListBullet"/>
      </w:pPr>
      <w:r>
        <w:rPr/>
        <w:t>Cardio-oncology indication on time (FY27 Q4) — material to revenue ramp from FY28</w:t>
      </w:r>
    </w:p>
    <w:p>
      <w:pPr>
        <w:pStyle w:val="ListBullet"/>
      </w:pPr>
      <w:r>
        <w:rPr/>
        <w:t>Series A close: April 2026</w:t>
      </w:r>
    </w:p>
    <w:p>
      <w:pPr>
        <w:pStyle w:val="ListBullet"/>
      </w:pPr>
      <w:r>
        <w:rPr/>
        <w:t>Series B target raise: ~$35-45M in late FY27 / early FY28</w:t>
      </w:r>
    </w:p>
    <w:p>
      <w:pPr>
        <w:pStyle w:val="Heading1"/>
      </w:pPr>
      <w:r/>
      <w:r>
        <w:rPr/>
        <w:t>How to Engage with the Model</w:t>
      </w:r>
    </w:p>
    <w:p>
      <w:pPr>
        <w:pStyle w:val="ListBullet"/>
      </w:pPr>
      <w:r>
        <w:rPr/>
        <w:t>Tier 2 investors receive read-only access; copy-with-questions is acceptable</w:t>
      </w:r>
    </w:p>
    <w:p>
      <w:pPr>
        <w:pStyle w:val="ListBullet"/>
      </w:pPr>
      <w:r>
        <w:rPr/>
        <w:t>Live walkthrough by the CFO function (Sarah Whittaker) is offered to qualified leads</w:t>
      </w:r>
    </w:p>
    <w:p>
      <w:pPr>
        <w:pStyle w:val="ListBullet"/>
      </w:pPr>
      <w:r>
        <w:rPr/>
        <w:t>Bear/Base/Bull toggle is on the Assumptions tab; selecting a scenario flows through the entire model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