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/>
      <w:r>
        <w:rPr/>
        <w:t>Runway and Burn</w:t>
      </w:r>
    </w:p>
    <w:p>
      <w:pPr>
        <w:pStyle w:val="IntenseQuote"/>
      </w:pPr>
      <w:r>
        <w:rPr>
          <w:i/>
        </w:rPr>
        <w:t>Sample document. Numbers as of February 2026 month-end.</w:t>
      </w:r>
    </w:p>
    <w:p>
      <w:pPr>
        <w:pStyle w:val="Heading1"/>
      </w:pPr>
      <w:r/>
      <w:r>
        <w:rPr/>
        <w:t>Headline</w:t>
      </w:r>
    </w:p>
    <w:p>
      <w:pPr>
        <w:pStyle w:val="ListBullet"/>
      </w:pPr>
      <w:r>
        <w:rPr>
          <w:b/>
        </w:rPr>
        <w:t>Cash on hand:</w:t>
      </w:r>
      <w:r>
        <w:rPr/>
        <w:t xml:space="preserve"> $2.4M</w:t>
      </w:r>
    </w:p>
    <w:p>
      <w:pPr>
        <w:pStyle w:val="ListBullet"/>
      </w:pPr>
      <w:r>
        <w:rPr>
          <w:b/>
        </w:rPr>
        <w:t>Trailing-3-month average operating burn:</w:t>
      </w:r>
      <w:r>
        <w:rPr/>
        <w:t xml:space="preserve"> $475K / month</w:t>
      </w:r>
    </w:p>
    <w:p>
      <w:pPr>
        <w:pStyle w:val="ListBullet"/>
      </w:pPr>
      <w:r>
        <w:rPr>
          <w:b/>
        </w:rPr>
        <w:t>Implied current runway:</w:t>
      </w:r>
      <w:r>
        <w:rPr/>
        <w:t xml:space="preserve"> approximately 5 months</w:t>
      </w:r>
    </w:p>
    <w:p>
      <w:pPr>
        <w:pStyle w:val="ListBullet"/>
      </w:pPr>
      <w:r>
        <w:rPr>
          <w:b/>
        </w:rPr>
        <w:t>Series A target close:</w:t>
      </w:r>
      <w:r>
        <w:rPr/>
        <w:t xml:space="preserve"> April 2026 ($15.0M raise)</w:t>
      </w:r>
    </w:p>
    <w:p>
      <w:pPr>
        <w:pStyle w:val="ListBullet"/>
      </w:pPr>
      <w:r>
        <w:rPr>
          <w:b/>
        </w:rPr>
        <w:t>Post-close pro-forma runway:</w:t>
      </w:r>
      <w:r>
        <w:rPr/>
        <w:t xml:space="preserve"> ~30 months at planned hiring pace</w:t>
      </w:r>
    </w:p>
    <w:p>
      <w:pPr>
        <w:pStyle w:val="Heading1"/>
      </w:pPr>
      <w:r/>
      <w:r>
        <w:rPr/>
        <w:t>Burn Composition (trailing 3 months, monthly average)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Monthly Burn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% of Total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Personnel (loaded)</w:t>
            </w:r>
          </w:p>
        </w:tc>
        <w:tc>
          <w:tcPr>
            <w:tcW w:type="dxa" w:w="2880"/>
          </w:tcPr>
          <w:p>
            <w:r/>
            <w:r>
              <w:rPr/>
              <w:t>320</w:t>
            </w:r>
          </w:p>
        </w:tc>
        <w:tc>
          <w:tcPr>
            <w:tcW w:type="dxa" w:w="2880"/>
          </w:tcPr>
          <w:p>
            <w:r/>
            <w:r>
              <w:rPr/>
              <w:t>67%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Cloud and infrastructure</w:t>
            </w:r>
          </w:p>
        </w:tc>
        <w:tc>
          <w:tcPr>
            <w:tcW w:type="dxa" w:w="2880"/>
          </w:tcPr>
          <w:p>
            <w:r/>
            <w:r>
              <w:rPr/>
              <w:t>38</w:t>
            </w:r>
          </w:p>
        </w:tc>
        <w:tc>
          <w:tcPr>
            <w:tcW w:type="dxa" w:w="2880"/>
          </w:tcPr>
          <w:p>
            <w:r/>
            <w:r>
              <w:rPr/>
              <w:t>8%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Clinical operations (study, pilot enablement)</w:t>
            </w:r>
          </w:p>
        </w:tc>
        <w:tc>
          <w:tcPr>
            <w:tcW w:type="dxa" w:w="2880"/>
          </w:tcPr>
          <w:p>
            <w:r/>
            <w:r>
              <w:rPr/>
              <w:t>42</w:t>
            </w:r>
          </w:p>
        </w:tc>
        <w:tc>
          <w:tcPr>
            <w:tcW w:type="dxa" w:w="2880"/>
          </w:tcPr>
          <w:p>
            <w:r/>
            <w:r>
              <w:rPr/>
              <w:t>9%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Regulatory and quality</w:t>
            </w:r>
          </w:p>
        </w:tc>
        <w:tc>
          <w:tcPr>
            <w:tcW w:type="dxa" w:w="2880"/>
          </w:tcPr>
          <w:p>
            <w:r/>
            <w:r>
              <w:rPr/>
              <w:t>28</w:t>
            </w:r>
          </w:p>
        </w:tc>
        <w:tc>
          <w:tcPr>
            <w:tcW w:type="dxa" w:w="2880"/>
          </w:tcPr>
          <w:p>
            <w:r/>
            <w:r>
              <w:rPr/>
              <w:t>6%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Software, tools, dev environment</w:t>
            </w:r>
          </w:p>
        </w:tc>
        <w:tc>
          <w:tcPr>
            <w:tcW w:type="dxa" w:w="2880"/>
          </w:tcPr>
          <w:p>
            <w:r/>
            <w:r>
              <w:rPr/>
              <w:t>19</w:t>
            </w:r>
          </w:p>
        </w:tc>
        <w:tc>
          <w:tcPr>
            <w:tcW w:type="dxa" w:w="2880"/>
          </w:tcPr>
          <w:p>
            <w:r/>
            <w:r>
              <w:rPr/>
              <w:t>4%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Sales and marketing (programs, travel)</w:t>
            </w:r>
          </w:p>
        </w:tc>
        <w:tc>
          <w:tcPr>
            <w:tcW w:type="dxa" w:w="2880"/>
          </w:tcPr>
          <w:p>
            <w:r/>
            <w:r>
              <w:rPr/>
              <w:t>16</w:t>
            </w:r>
          </w:p>
        </w:tc>
        <w:tc>
          <w:tcPr>
            <w:tcW w:type="dxa" w:w="2880"/>
          </w:tcPr>
          <w:p>
            <w:r/>
            <w:r>
              <w:rPr/>
              <w:t>3%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G&amp;A (legal, audit, insurance)</w:t>
            </w:r>
          </w:p>
        </w:tc>
        <w:tc>
          <w:tcPr>
            <w:tcW w:type="dxa" w:w="2880"/>
          </w:tcPr>
          <w:p>
            <w:r/>
            <w:r>
              <w:rPr/>
              <w:t>12</w:t>
            </w:r>
          </w:p>
        </w:tc>
        <w:tc>
          <w:tcPr>
            <w:tcW w:type="dxa" w:w="2880"/>
          </w:tcPr>
          <w:p>
            <w:r/>
            <w:r>
              <w:rPr/>
              <w:t>3%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Total operating burn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475</w:t>
            </w:r>
          </w:p>
        </w:tc>
        <w:tc>
          <w:tcPr>
            <w:tcW w:type="dxa" w:w="2880"/>
          </w:tcPr>
          <w:p>
            <w:r/>
            <w:r>
              <w:rPr/>
              <w:t>100%</w:t>
            </w:r>
          </w:p>
        </w:tc>
      </w:tr>
    </w:tbl>
    <w:p>
      <w:pPr>
        <w:pStyle w:val="Heading1"/>
      </w:pPr>
      <w:r/>
      <w:r>
        <w:rPr/>
        <w:t>Personnel Detail</w:t>
      </w:r>
    </w:p>
    <w:p>
      <w:r>
        <w:rPr/>
        <w:t>22 FTE at month-end. Loaded cost (salary + benefits + employer taxes + 8% overhead) averages ~$14.5K / month per FTE. The ratio is intentional: HealthCo runs lean on G&amp;A (1 FTE), with engineering and clinical concentrated.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Function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FTE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Engineering (ML, platform, frontend)</w:t>
            </w:r>
          </w:p>
        </w:tc>
        <w:tc>
          <w:tcPr>
            <w:tcW w:type="dxa" w:w="4320"/>
          </w:tcPr>
          <w:p>
            <w:r/>
            <w:r>
              <w:rPr/>
              <w:t>9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Clinical operations and PI engagement</w:t>
            </w:r>
          </w:p>
        </w:tc>
        <w:tc>
          <w:tcPr>
            <w:tcW w:type="dxa" w:w="4320"/>
          </w:tcPr>
          <w:p>
            <w:r/>
            <w:r>
              <w:rPr/>
              <w:t>4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Regulatory and quality</w:t>
            </w:r>
          </w:p>
        </w:tc>
        <w:tc>
          <w:tcPr>
            <w:tcW w:type="dxa" w:w="4320"/>
          </w:tcPr>
          <w:p>
            <w:r/>
            <w:r>
              <w:rPr/>
              <w:t>3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Sales and customer success</w:t>
            </w:r>
          </w:p>
        </w:tc>
        <w:tc>
          <w:tcPr>
            <w:tcW w:type="dxa" w:w="4320"/>
          </w:tcPr>
          <w:p>
            <w:r/>
            <w:r>
              <w:rPr/>
              <w:t>3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Operations and G&amp;A</w:t>
            </w:r>
          </w:p>
        </w:tc>
        <w:tc>
          <w:tcPr>
            <w:tcW w:type="dxa" w:w="4320"/>
          </w:tcPr>
          <w:p>
            <w:r/>
            <w:r>
              <w:rPr/>
              <w:t>2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Executive (founders)</w:t>
            </w:r>
          </w:p>
        </w:tc>
        <w:tc>
          <w:tcPr>
            <w:tcW w:type="dxa" w:w="4320"/>
          </w:tcPr>
          <w:p>
            <w:r/>
            <w:r>
              <w:rPr/>
              <w:t>1*</w:t>
            </w:r>
          </w:p>
        </w:tc>
      </w:tr>
    </w:tbl>
    <w:p>
      <w:r>
        <w:rPr/>
        <w:t>*Three founders draw founder salaries (75th percentile of comparable Series-Seed-stage cardio-AI compensation). Counted as one FTE for headcount purposes given two of the three are also full-time engineering and clinical leadership.</w:t>
      </w:r>
    </w:p>
    <w:p>
      <w:pPr>
        <w:pStyle w:val="Heading1"/>
      </w:pPr>
      <w:r/>
      <w:r>
        <w:rPr/>
        <w:t>Post-Series-A Use of Proceeds</w:t>
      </w:r>
    </w:p>
    <w:p>
      <w:r>
        <w:rPr/>
        <w:t>The $15.0M raise is allocated approximately as follows (Base case in financial model):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Use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$M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%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Engineering and ML hiring (FY26-27)</w:t>
            </w:r>
          </w:p>
        </w:tc>
        <w:tc>
          <w:tcPr>
            <w:tcW w:type="dxa" w:w="2880"/>
          </w:tcPr>
          <w:p>
            <w:r/>
            <w:r>
              <w:rPr/>
              <w:t>4.5</w:t>
            </w:r>
          </w:p>
        </w:tc>
        <w:tc>
          <w:tcPr>
            <w:tcW w:type="dxa" w:w="2880"/>
          </w:tcPr>
          <w:p>
            <w:r/>
            <w:r>
              <w:rPr/>
              <w:t>30%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Clinical (real-world studies, cardio-oncology trial enablement)</w:t>
            </w:r>
          </w:p>
        </w:tc>
        <w:tc>
          <w:tcPr>
            <w:tcW w:type="dxa" w:w="2880"/>
          </w:tcPr>
          <w:p>
            <w:r/>
            <w:r>
              <w:rPr/>
              <w:t>3.0</w:t>
            </w:r>
          </w:p>
        </w:tc>
        <w:tc>
          <w:tcPr>
            <w:tcW w:type="dxa" w:w="2880"/>
          </w:tcPr>
          <w:p>
            <w:r/>
            <w:r>
              <w:rPr/>
              <w:t>20%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Regulatory (De Novo, indication expansions, EU-MDR readiness)</w:t>
            </w:r>
          </w:p>
        </w:tc>
        <w:tc>
          <w:tcPr>
            <w:tcW w:type="dxa" w:w="2880"/>
          </w:tcPr>
          <w:p>
            <w:r/>
            <w:r>
              <w:rPr/>
              <w:t>1.5</w:t>
            </w:r>
          </w:p>
        </w:tc>
        <w:tc>
          <w:tcPr>
            <w:tcW w:type="dxa" w:w="2880"/>
          </w:tcPr>
          <w:p>
            <w:r/>
            <w:r>
              <w:rPr/>
              <w:t>10%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GTM (4 enterprise reps, marketing, KOL programs)</w:t>
            </w:r>
          </w:p>
        </w:tc>
        <w:tc>
          <w:tcPr>
            <w:tcW w:type="dxa" w:w="2880"/>
          </w:tcPr>
          <w:p>
            <w:r/>
            <w:r>
              <w:rPr/>
              <w:t>3.5</w:t>
            </w:r>
          </w:p>
        </w:tc>
        <w:tc>
          <w:tcPr>
            <w:tcW w:type="dxa" w:w="2880"/>
          </w:tcPr>
          <w:p>
            <w:r/>
            <w:r>
              <w:rPr/>
              <w:t>23%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Reimbursement / health-economics work (CPT pursuit)</w:t>
            </w:r>
          </w:p>
        </w:tc>
        <w:tc>
          <w:tcPr>
            <w:tcW w:type="dxa" w:w="2880"/>
          </w:tcPr>
          <w:p>
            <w:r/>
            <w:r>
              <w:rPr/>
              <w:t>1.0</w:t>
            </w:r>
          </w:p>
        </w:tc>
        <w:tc>
          <w:tcPr>
            <w:tcW w:type="dxa" w:w="2880"/>
          </w:tcPr>
          <w:p>
            <w:r/>
            <w:r>
              <w:rPr/>
              <w:t>7%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Cloud and infrastructure scaling</w:t>
            </w:r>
          </w:p>
        </w:tc>
        <w:tc>
          <w:tcPr>
            <w:tcW w:type="dxa" w:w="2880"/>
          </w:tcPr>
          <w:p>
            <w:r/>
            <w:r>
              <w:rPr/>
              <w:t>0.8</w:t>
            </w:r>
          </w:p>
        </w:tc>
        <w:tc>
          <w:tcPr>
            <w:tcW w:type="dxa" w:w="2880"/>
          </w:tcPr>
          <w:p>
            <w:r/>
            <w:r>
              <w:rPr/>
              <w:t>5%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G&amp;A and reserves</w:t>
            </w:r>
          </w:p>
        </w:tc>
        <w:tc>
          <w:tcPr>
            <w:tcW w:type="dxa" w:w="2880"/>
          </w:tcPr>
          <w:p>
            <w:r/>
            <w:r>
              <w:rPr/>
              <w:t>0.7</w:t>
            </w:r>
          </w:p>
        </w:tc>
        <w:tc>
          <w:tcPr>
            <w:tcW w:type="dxa" w:w="2880"/>
          </w:tcPr>
          <w:p>
            <w:r/>
            <w:r>
              <w:rPr/>
              <w:t>5%</w:t>
            </w:r>
          </w:p>
        </w:tc>
      </w:tr>
    </w:tbl>
    <w:p>
      <w:pPr>
        <w:pStyle w:val="Heading1"/>
      </w:pPr>
      <w:r/>
      <w:r>
        <w:rPr/>
        <w:t>Runway Scenarios</w:t>
      </w:r>
    </w:p>
    <w:p>
      <w:r>
        <w:rPr/>
        <w:t xml:space="preserve">Modeled in </w:t>
      </w:r>
      <w:r>
        <w:rPr>
          <w:rFonts w:ascii="Consolas" w:hAnsi="Consolas"/>
          <w:sz w:val="20"/>
        </w:rPr>
        <w:t>../../model/financial_model.xlsx</w:t>
      </w:r>
      <w:r>
        <w:rPr/>
        <w:t xml:space="preserve"> (Scenarios tab):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Avg monthly burn (FY26-27)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Runway from Series A close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Bear</w:t>
            </w:r>
          </w:p>
        </w:tc>
        <w:tc>
          <w:tcPr>
            <w:tcW w:type="dxa" w:w="2880"/>
          </w:tcPr>
          <w:p>
            <w:r/>
            <w:r>
              <w:rPr/>
              <w:t>580</w:t>
            </w:r>
          </w:p>
        </w:tc>
        <w:tc>
          <w:tcPr>
            <w:tcW w:type="dxa" w:w="2880"/>
          </w:tcPr>
          <w:p>
            <w:r/>
            <w:r>
              <w:rPr/>
              <w:t>26 months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Base</w:t>
            </w:r>
          </w:p>
        </w:tc>
        <w:tc>
          <w:tcPr>
            <w:tcW w:type="dxa" w:w="2880"/>
          </w:tcPr>
          <w:p>
            <w:r/>
            <w:r>
              <w:rPr/>
              <w:t>510</w:t>
            </w:r>
          </w:p>
        </w:tc>
        <w:tc>
          <w:tcPr>
            <w:tcW w:type="dxa" w:w="2880"/>
          </w:tcPr>
          <w:p>
            <w:r/>
            <w:r>
              <w:rPr/>
              <w:t>30 months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Bull (revenue ahead of plan)</w:t>
            </w:r>
          </w:p>
        </w:tc>
        <w:tc>
          <w:tcPr>
            <w:tcW w:type="dxa" w:w="2880"/>
          </w:tcPr>
          <w:p>
            <w:r/>
            <w:r>
              <w:rPr/>
              <w:t>480</w:t>
            </w:r>
          </w:p>
        </w:tc>
        <w:tc>
          <w:tcPr>
            <w:tcW w:type="dxa" w:w="2880"/>
          </w:tcPr>
          <w:p>
            <w:r/>
            <w:r>
              <w:rPr/>
              <w:t>33 months</w:t>
            </w:r>
          </w:p>
        </w:tc>
      </w:tr>
    </w:tbl>
    <w:p>
      <w:r>
        <w:rPr/>
        <w:t>The Bull scenario reflects faster-than-expected enterprise conversions of pilots; revenue partially offsets burn ramp.</w:t>
      </w:r>
    </w:p>
    <w:p>
      <w:pPr>
        <w:pStyle w:val="Heading1"/>
      </w:pPr>
      <w:r/>
      <w:r>
        <w:rPr/>
        <w:t>Series B Outlook</w:t>
      </w:r>
    </w:p>
    <w:p>
      <w:r>
        <w:rPr/>
        <w:t>Base case Series B is planned for late FY27 / early FY28, sized at $35 – $45M. By that point, HealthCo expects:</w:t>
      </w:r>
    </w:p>
    <w:p>
      <w:pPr>
        <w:pStyle w:val="ListBullet"/>
      </w:pPr>
      <w:r>
        <w:rPr/>
        <w:t>ARR in the $10-15M range</w:t>
      </w:r>
    </w:p>
    <w:p>
      <w:pPr>
        <w:pStyle w:val="ListBullet"/>
      </w:pPr>
      <w:r>
        <w:rPr/>
        <w:t>4-5 enterprise customers fully converted, plus ongoing pilots</w:t>
      </w:r>
    </w:p>
    <w:p>
      <w:pPr>
        <w:pStyle w:val="ListBullet"/>
      </w:pPr>
      <w:r>
        <w:rPr/>
        <w:t>Auto-strain commercial (post De Novo clearance)</w:t>
      </w:r>
    </w:p>
    <w:p>
      <w:pPr>
        <w:pStyle w:val="ListBullet"/>
      </w:pPr>
      <w:r>
        <w:rPr/>
        <w:t>Cardio-oncology indication submission in flight</w:t>
      </w:r>
    </w:p>
    <w:p>
      <w:pPr>
        <w:pStyle w:val="Heading1"/>
      </w:pPr>
      <w:r/>
      <w:r>
        <w:rPr/>
        <w:t>Cash Discipline</w:t>
      </w:r>
    </w:p>
    <w:p>
      <w:pPr>
        <w:pStyle w:val="ListBullet"/>
      </w:pPr>
      <w:r>
        <w:rPr/>
        <w:t>Monthly cash forecast presented to the board</w:t>
      </w:r>
    </w:p>
    <w:p>
      <w:pPr>
        <w:pStyle w:val="ListBullet"/>
      </w:pPr>
      <w:r>
        <w:rPr/>
        <w:t>13-week rolling cash forecast updated weekly during pre-close period</w:t>
      </w:r>
    </w:p>
    <w:p>
      <w:pPr>
        <w:pStyle w:val="ListBullet"/>
      </w:pPr>
      <w:r>
        <w:rPr/>
        <w:t>Hiring trigger gates: each function's hiring plan tied to milestones (pilot conversions, regulatory milestones)</w:t>
      </w:r>
    </w:p>
    <w:p>
      <w:pPr>
        <w:pStyle w:val="ListBullet"/>
      </w:pPr>
      <w:r>
        <w:rPr/>
        <w:t>$0.7M G&amp;A reserve held for unanticipated audit, legal, or transaction costs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