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rPr/>
        <w:t>Advisor Board Roster</w:t>
      </w:r>
    </w:p>
    <w:p>
      <w:pPr>
        <w:pStyle w:val="IntenseQuote"/>
      </w:pPr>
      <w:r>
        <w:rPr>
          <w:i/>
        </w:rPr>
        <w:t>Sample document. Clinical KOLs are real cardiac amyloidosis experts referenced illustratively for sample-document purposes.</w:t>
      </w:r>
    </w:p>
    <w:p>
      <w:r>
        <w:rPr/>
        <w:t xml:space="preserve">HealthCo engages two advisor boards: a </w:t>
      </w:r>
      <w:r>
        <w:rPr>
          <w:b/>
        </w:rPr>
        <w:t>Clinical Advisory Board</w:t>
      </w:r>
      <w:r>
        <w:rPr/>
        <w:t xml:space="preserve"> (named KOLs in cardiac amyloidosis and imaging) and a </w:t>
      </w:r>
      <w:r>
        <w:rPr>
          <w:b/>
        </w:rPr>
        <w:t>Business Advisory Board</w:t>
      </w:r>
      <w:r>
        <w:rPr/>
        <w:t xml:space="preserve"> (commercial, regulatory, and reimbursement). Both groups are governed by HealthCo's standard advisor agreement (see </w:t>
      </w:r>
      <w:r>
        <w:rPr>
          <w:rFonts w:ascii="Consolas" w:hAnsi="Consolas"/>
          <w:sz w:val="20"/>
        </w:rPr>
        <w:t>01-Corporate/material-agreements-index.md</w:t>
      </w:r>
      <w:r>
        <w:rPr/>
        <w:t>).</w:t>
      </w:r>
    </w:p>
    <w:p>
      <w:pPr>
        <w:pStyle w:val="Heading1"/>
      </w:pPr>
      <w:r/>
      <w:r>
        <w:rPr/>
        <w:t>Clinical Advisory Board</w:t>
      </w:r>
    </w:p>
    <w:p>
      <w:r>
        <w:rPr/>
        <w:t xml:space="preserve">Profiled in detail in </w:t>
      </w:r>
      <w:r>
        <w:rPr>
          <w:rFonts w:ascii="Consolas" w:hAnsi="Consolas"/>
          <w:sz w:val="20"/>
        </w:rPr>
        <w:t>04-Preclinical-Clinical/kol-advisory-board.md</w:t>
      </w:r>
      <w:r>
        <w:rPr/>
        <w:t>. Roster: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Advisor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Affiliation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Role with HealthCo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Dr. Rodney Falk, MD</w:t>
            </w:r>
          </w:p>
        </w:tc>
        <w:tc>
          <w:tcPr>
            <w:tcW w:type="dxa" w:w="2880"/>
          </w:tcPr>
          <w:p>
            <w:r/>
            <w:r>
              <w:rPr/>
              <w:t>Brigham and Women's Hospital — Cardiac Amyloidosis Program (Director)</w:t>
            </w:r>
          </w:p>
        </w:tc>
        <w:tc>
          <w:tcPr>
            <w:tcW w:type="dxa" w:w="2880"/>
          </w:tcPr>
          <w:p>
            <w:r/>
            <w:r>
              <w:rPr/>
              <w:t>Founding clinical advisor; site PI for Mass General Brigham pilot; co-author JACC: CV Imaging 2025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Dr. Mathew S. Maurer, MD</w:t>
            </w:r>
          </w:p>
        </w:tc>
        <w:tc>
          <w:tcPr>
            <w:tcW w:type="dxa" w:w="2880"/>
          </w:tcPr>
          <w:p>
            <w:r/>
            <w:r>
              <w:rPr/>
              <w:t>Columbia University Irving Medical Center — Cardiac Amyloidosis Program (Director)</w:t>
            </w:r>
          </w:p>
        </w:tc>
        <w:tc>
          <w:tcPr>
            <w:tcW w:type="dxa" w:w="2880"/>
          </w:tcPr>
          <w:p>
            <w:r/>
            <w:r>
              <w:rPr/>
              <w:t>Clinical advisor; senior author JACC: CV Imaging 2025; foundational author NEJM 2014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Dr. Brett Sperry, MD</w:t>
            </w:r>
          </w:p>
        </w:tc>
        <w:tc>
          <w:tcPr>
            <w:tcW w:type="dxa" w:w="2880"/>
          </w:tcPr>
          <w:p>
            <w:r/>
            <w:r>
              <w:rPr/>
              <w:t>Saint Luke's Mid America Heart Institute — Advanced Cardiac Imaging (Director)</w:t>
            </w:r>
          </w:p>
        </w:tc>
        <w:tc>
          <w:tcPr>
            <w:tcW w:type="dxa" w:w="2880"/>
          </w:tcPr>
          <w:p>
            <w:r/>
            <w:r>
              <w:rPr/>
              <w:t>Clinical advisor; co-author JACC; community-cardiology generalizability lead</w:t>
            </w:r>
          </w:p>
        </w:tc>
      </w:tr>
    </w:tbl>
    <w:p>
      <w:r>
        <w:rPr/>
        <w:t>Standard CAB compensation: 0.10 – 0.25% common-stock options vesting monthly over 24 months, plus per-engagement honoraria at fair-market rates.</w:t>
      </w:r>
    </w:p>
    <w:p>
      <w:pPr>
        <w:pStyle w:val="Heading1"/>
      </w:pPr>
      <w:r/>
      <w:r>
        <w:rPr/>
        <w:t>Business Advisory Board</w:t>
      </w:r>
    </w:p>
    <w:p>
      <w:r>
        <w:rPr/>
        <w:t>Five advisors covering GTM, regulatory, reimbursement, M&amp;A, and federal markets:</w:t>
      </w:r>
    </w:p>
    <w:p>
      <w:pPr>
        <w:pStyle w:val="Heading2"/>
      </w:pPr>
      <w:r/>
      <w:r>
        <w:rPr/>
        <w:t>Operating Advisor — Cardiac AI GTM</w:t>
      </w:r>
    </w:p>
    <w:p>
      <w:r>
        <w:rPr/>
        <w:t>A former senior commercial leader at HeartFlow (post-IPO public exit comparable). Engages monthly with Sarah Whittaker on enterprise pricing posture, IDN engagement, and Series A messaging. 0.20% common.</w:t>
      </w:r>
    </w:p>
    <w:p>
      <w:pPr>
        <w:pStyle w:val="Heading2"/>
      </w:pPr>
      <w:r/>
      <w:r>
        <w:rPr/>
        <w:t>Operating Advisor — Regulatory</w:t>
      </w:r>
    </w:p>
    <w:p>
      <w:r>
        <w:rPr/>
        <w:t>A former CDRH branch chief (now in private practice) with deep AI/ML SaMD expertise. Quarterly engagement with VP Reg/Quality on De Novo strategy and indication expansion. 0.15% common.</w:t>
      </w:r>
    </w:p>
    <w:p>
      <w:pPr>
        <w:pStyle w:val="Heading2"/>
      </w:pPr>
      <w:r/>
      <w:r>
        <w:rPr/>
        <w:t>Operating Advisor — Reimbursement</w:t>
      </w:r>
    </w:p>
    <w:p>
      <w:r>
        <w:rPr/>
        <w:t>A former AMA RUC committee member; advises on the Category III to Category I CPT pathway and payer-policy outreach. Engages bimonthly with Sarah Whittaker. 0.15% common.</w:t>
      </w:r>
    </w:p>
    <w:p>
      <w:pPr>
        <w:pStyle w:val="Heading2"/>
      </w:pPr>
      <w:r/>
      <w:r>
        <w:rPr/>
        <w:t>Operating Advisor — M&amp;A and Capital Markets</w:t>
      </w:r>
    </w:p>
    <w:p>
      <w:r>
        <w:rPr/>
        <w:t>A former managing director at a healthcare-focused investment bank. Engaged at the seed round; provides input on Series A construction and long-range strategic-options framing. 0.10% common.</w:t>
      </w:r>
    </w:p>
    <w:p>
      <w:pPr>
        <w:pStyle w:val="Heading2"/>
      </w:pPr>
      <w:r/>
      <w:r>
        <w:rPr/>
        <w:t>Operating Advisor — Federal Markets (VA / DoD)</w:t>
      </w:r>
    </w:p>
    <w:p>
      <w:r>
        <w:rPr/>
        <w:t xml:space="preserve">A former senior medical officer at the VA. Advising on federal-market entry, including the GovCloud-eligible posture documented in </w:t>
      </w:r>
      <w:r>
        <w:rPr>
          <w:rFonts w:ascii="Consolas" w:hAnsi="Consolas"/>
          <w:sz w:val="20"/>
        </w:rPr>
        <w:t>05-CMC-Manufacturing/cloud-infrastructure.md</w:t>
      </w:r>
      <w:r>
        <w:rPr/>
        <w:t>. 0.10% common.</w:t>
      </w:r>
    </w:p>
    <w:p>
      <w:pPr>
        <w:pStyle w:val="Heading1"/>
      </w:pPr>
      <w:r/>
      <w:r>
        <w:rPr/>
        <w:t>Engagement Cadence</w:t>
      </w:r>
    </w:p>
    <w:p>
      <w:pPr>
        <w:pStyle w:val="ListBullet"/>
      </w:pPr>
      <w:r>
        <w:rPr/>
        <w:t>Quarterly joint CAB + BAB session (full-day; in person or remote)</w:t>
      </w:r>
    </w:p>
    <w:p>
      <w:pPr>
        <w:pStyle w:val="ListBullet"/>
      </w:pPr>
      <w:r>
        <w:rPr/>
        <w:t>Quarterly BAB-only working sessions</w:t>
      </w:r>
    </w:p>
    <w:p>
      <w:pPr>
        <w:pStyle w:val="ListBullet"/>
      </w:pPr>
      <w:r>
        <w:rPr/>
        <w:t>Monthly 1:1s between named advisors and their HealthCo principals</w:t>
      </w:r>
    </w:p>
    <w:p>
      <w:pPr>
        <w:pStyle w:val="ListBullet"/>
      </w:pPr>
      <w:r>
        <w:rPr/>
        <w:t>Ad hoc engagement on specific deliverables (Q-Sub responses, MAC dossiers, board materials)</w:t>
      </w:r>
    </w:p>
    <w:p>
      <w:pPr>
        <w:pStyle w:val="Heading1"/>
      </w:pPr>
      <w:r/>
      <w:r>
        <w:rPr/>
        <w:t>Compliance</w:t>
      </w:r>
    </w:p>
    <w:p>
      <w:r>
        <w:rPr/>
        <w:t>All advisors execute:</w:t>
      </w:r>
    </w:p>
    <w:p>
      <w:pPr>
        <w:pStyle w:val="ListBullet"/>
      </w:pPr>
      <w:r>
        <w:rPr/>
        <w:t>Standard advisor agreement (NVCA-style)</w:t>
      </w:r>
    </w:p>
    <w:p>
      <w:pPr>
        <w:pStyle w:val="ListBullet"/>
      </w:pPr>
      <w:r>
        <w:rPr/>
        <w:t>IP assignment of work product</w:t>
      </w:r>
    </w:p>
    <w:p>
      <w:pPr>
        <w:pStyle w:val="ListBullet"/>
      </w:pPr>
      <w:r>
        <w:rPr/>
        <w:t>Two-year confidentiality</w:t>
      </w:r>
    </w:p>
    <w:p>
      <w:pPr>
        <w:pStyle w:val="ListBullet"/>
      </w:pPr>
      <w:r>
        <w:rPr/>
        <w:t>Disclosure-and-conflict policy aligned with the advisor's institutional COI rules (especially relevant for academic clinical advisors)</w:t>
      </w:r>
    </w:p>
    <w:p>
      <w:r>
        <w:rPr/>
        <w:t>Advisor compensation and engagement scopes are reviewed annually by the Compensation Committee of the Board (</w:t>
      </w:r>
      <w:r>
        <w:rPr>
          <w:rFonts w:ascii="Consolas" w:hAnsi="Consolas"/>
          <w:sz w:val="20"/>
        </w:rPr>
        <w:t>09-Board-Materials/governance-structure.md</w:t>
      </w:r>
      <w:r>
        <w:rPr/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