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Org Chart and Hiring Plan</w:t>
      </w:r>
    </w:p>
    <w:p>
      <w:pPr>
        <w:pStyle w:val="IntenseQuote"/>
      </w:pPr>
      <w:r>
        <w:rPr>
          <w:i/>
        </w:rPr>
        <w:t xml:space="preserve">Sample document. Hiring plan reflects the Series A use-of-proceeds in </w:t>
      </w:r>
      <w:r>
        <w:rPr>
          <w:rFonts w:ascii="Consolas" w:hAnsi="Consolas"/>
          <w:sz w:val="20"/>
        </w:rPr>
        <w:t>07-Financials/runway-and-burn.md</w:t>
      </w:r>
      <w:r>
        <w:rPr>
          <w:i/>
        </w:rPr>
        <w:t>.</w:t>
      </w:r>
    </w:p>
    <w:p>
      <w:pPr>
        <w:pStyle w:val="Heading1"/>
      </w:pPr>
      <w:r/>
      <w:r>
        <w:rPr/>
        <w:t>Current Headcount (March 2026): 22 FTE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   Maya Chen, CEO</w:t>
        <w:br/>
        <w:t xml:space="preserve">                                |</w:t>
        <w:br/>
        <w:t xml:space="preserve">        ----------------------------------------------------</w:t>
        <w:br/>
        <w:t xml:space="preserve">        |                       |                          |</w:t>
        <w:br/>
        <w:t xml:space="preserve">   Raj Iyer, CTO         Sarah Whittaker, COO          VP Reg/Quality</w:t>
        <w:br/>
        <w:t xml:space="preserve">        |                       |                          |</w:t>
        <w:br/>
        <w:t xml:space="preserve">   Engineering (9)       GTM / Ops / Finance (7)      Reg &amp; QA (3)</w:t>
        <w:br/>
        <w:t xml:space="preserve">        |                       |</w:t>
        <w:br/>
        <w:t xml:space="preserve">        |                       |--- Sales (3)</w:t>
        <w:br/>
        <w:t xml:space="preserve">        |                       |--- Customer Success (1)</w:t>
        <w:br/>
        <w:t xml:space="preserve">        |--- ML / Research (4)  |--- Operations (1)</w:t>
        <w:br/>
        <w:t xml:space="preserve">        |--- Platform (3)       |--- Finance (1)</w:t>
        <w:br/>
        <w:t xml:space="preserve">        |--- Frontend / UX (2)  |--- COO direct</w:t>
        <w:br/>
        <w:t xml:space="preserve">                                </w:t>
        <w:br/>
        <w:t xml:space="preserve">                          Clinical Operations (4) -- reports to Maya</w:t>
      </w:r>
    </w:p>
    <w:p>
      <w:pPr>
        <w:pStyle w:val="Heading1"/>
      </w:pPr>
      <w:r/>
      <w:r>
        <w:rPr/>
        <w:t>Headcount by Function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Current FTE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ML / Research</w:t>
            </w:r>
          </w:p>
        </w:tc>
        <w:tc>
          <w:tcPr>
            <w:tcW w:type="dxa" w:w="4320"/>
          </w:tcPr>
          <w:p>
            <w:r/>
            <w:r>
              <w:rPr/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Platform engineering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Frontend / UX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Clinical operations</w:t>
            </w:r>
          </w:p>
        </w:tc>
        <w:tc>
          <w:tcPr>
            <w:tcW w:type="dxa" w:w="4320"/>
          </w:tcPr>
          <w:p>
            <w:r/>
            <w:r>
              <w:rPr/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Regulatory and quality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(enterprise direct)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Customer success</w:t>
            </w:r>
          </w:p>
        </w:tc>
        <w:tc>
          <w:tcPr>
            <w:tcW w:type="dxa" w:w="4320"/>
          </w:tcPr>
          <w:p>
            <w:r/>
            <w:r>
              <w:rPr/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Operations / G&amp;A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22</w:t>
            </w:r>
          </w:p>
        </w:tc>
      </w:tr>
    </w:tbl>
    <w:p>
      <w:pPr>
        <w:pStyle w:val="Heading1"/>
      </w:pPr>
      <w:r/>
      <w:r>
        <w:rPr/>
        <w:t>Series A Hiring Plan (next 18 months)</w:t>
      </w:r>
    </w:p>
    <w:p>
      <w:r>
        <w:rPr/>
        <w:t xml:space="preserve">Targeting </w:t>
      </w:r>
      <w:r>
        <w:rPr>
          <w:b/>
        </w:rPr>
        <w:t>+19 FTE</w:t>
      </w:r>
      <w:r>
        <w:rPr/>
        <w:t xml:space="preserve"> through the Series A use-of-proceeds, bringing total to ~41 FTE by end of FY27.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Hires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Timing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ML / Research</w:t>
            </w:r>
          </w:p>
        </w:tc>
        <w:tc>
          <w:tcPr>
            <w:tcW w:type="dxa" w:w="2160"/>
          </w:tcPr>
          <w:p>
            <w:r/>
            <w:r>
              <w:rPr/>
              <w:t>+5</w:t>
            </w:r>
          </w:p>
        </w:tc>
        <w:tc>
          <w:tcPr>
            <w:tcW w:type="dxa" w:w="2160"/>
          </w:tcPr>
          <w:p>
            <w:r/>
            <w:r>
              <w:rPr/>
              <w:t>Q2-Q4 FY26</w:t>
            </w:r>
          </w:p>
        </w:tc>
        <w:tc>
          <w:tcPr>
            <w:tcW w:type="dxa" w:w="2160"/>
          </w:tcPr>
          <w:p>
            <w:r/>
            <w:r>
              <w:rPr/>
              <w:t>2 senior ML engineers, 2 ML research scientists, 1 data infrastructure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Platform engineering</w:t>
            </w:r>
          </w:p>
        </w:tc>
        <w:tc>
          <w:tcPr>
            <w:tcW w:type="dxa" w:w="2160"/>
          </w:tcPr>
          <w:p>
            <w:r/>
            <w:r>
              <w:rPr/>
              <w:t>+2</w:t>
            </w:r>
          </w:p>
        </w:tc>
        <w:tc>
          <w:tcPr>
            <w:tcW w:type="dxa" w:w="2160"/>
          </w:tcPr>
          <w:p>
            <w:r/>
            <w:r>
              <w:rPr/>
              <w:t>Q2 FY26</w:t>
            </w:r>
          </w:p>
        </w:tc>
        <w:tc>
          <w:tcPr>
            <w:tcW w:type="dxa" w:w="2160"/>
          </w:tcPr>
          <w:p>
            <w:r/>
            <w:r>
              <w:rPr/>
              <w:t>SRE; security engineer for HITRUST scope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Clinical operations</w:t>
            </w:r>
          </w:p>
        </w:tc>
        <w:tc>
          <w:tcPr>
            <w:tcW w:type="dxa" w:w="2160"/>
          </w:tcPr>
          <w:p>
            <w:r/>
            <w:r>
              <w:rPr/>
              <w:t>+3</w:t>
            </w:r>
          </w:p>
        </w:tc>
        <w:tc>
          <w:tcPr>
            <w:tcW w:type="dxa" w:w="2160"/>
          </w:tcPr>
          <w:p>
            <w:r/>
            <w:r>
              <w:rPr/>
              <w:t>Q2-Q3 FY26</w:t>
            </w:r>
          </w:p>
        </w:tc>
        <w:tc>
          <w:tcPr>
            <w:tcW w:type="dxa" w:w="2160"/>
          </w:tcPr>
          <w:p>
            <w:r/>
            <w:r>
              <w:rPr/>
              <w:t>Cardio-oncology study lead; 2 site activation managers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Regulatory and quality</w:t>
            </w:r>
          </w:p>
        </w:tc>
        <w:tc>
          <w:tcPr>
            <w:tcW w:type="dxa" w:w="2160"/>
          </w:tcPr>
          <w:p>
            <w:r/>
            <w:r>
              <w:rPr/>
              <w:t>+2</w:t>
            </w:r>
          </w:p>
        </w:tc>
        <w:tc>
          <w:tcPr>
            <w:tcW w:type="dxa" w:w="2160"/>
          </w:tcPr>
          <w:p>
            <w:r/>
            <w:r>
              <w:rPr/>
              <w:t>Q3 FY26</w:t>
            </w:r>
          </w:p>
        </w:tc>
        <w:tc>
          <w:tcPr>
            <w:tcW w:type="dxa" w:w="2160"/>
          </w:tcPr>
          <w:p>
            <w:r/>
            <w:r>
              <w:rPr/>
              <w:t>Senior reg engineer for indication expansions; QA engineer for ISO 27001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Sales (enterprise direct)</w:t>
            </w:r>
          </w:p>
        </w:tc>
        <w:tc>
          <w:tcPr>
            <w:tcW w:type="dxa" w:w="2160"/>
          </w:tcPr>
          <w:p>
            <w:r/>
            <w:r>
              <w:rPr/>
              <w:t>+4</w:t>
            </w:r>
          </w:p>
        </w:tc>
        <w:tc>
          <w:tcPr>
            <w:tcW w:type="dxa" w:w="2160"/>
          </w:tcPr>
          <w:p>
            <w:r/>
            <w:r>
              <w:rPr/>
              <w:t>Q2-Q4 FY26</w:t>
            </w:r>
          </w:p>
        </w:tc>
        <w:tc>
          <w:tcPr>
            <w:tcW w:type="dxa" w:w="2160"/>
          </w:tcPr>
          <w:p>
            <w:r/>
            <w:r>
              <w:rPr/>
              <w:t>Bringing total to 7 reps; territory-aligned (Northeast, Midwest, Southeast, West)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Customer success</w:t>
            </w:r>
          </w:p>
        </w:tc>
        <w:tc>
          <w:tcPr>
            <w:tcW w:type="dxa" w:w="2160"/>
          </w:tcPr>
          <w:p>
            <w:r/>
            <w:r>
              <w:rPr/>
              <w:t>+2</w:t>
            </w:r>
          </w:p>
        </w:tc>
        <w:tc>
          <w:tcPr>
            <w:tcW w:type="dxa" w:w="2160"/>
          </w:tcPr>
          <w:p>
            <w:r/>
            <w:r>
              <w:rPr/>
              <w:t>Q2-Q3 FY26</w:t>
            </w:r>
          </w:p>
        </w:tc>
        <w:tc>
          <w:tcPr>
            <w:tcW w:type="dxa" w:w="2160"/>
          </w:tcPr>
          <w:p>
            <w:r/>
            <w:r>
              <w:rPr/>
              <w:t>Conversion-focused; tied to pilot-to-enterprise motion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Reimbursement / health economics</w:t>
            </w:r>
          </w:p>
        </w:tc>
        <w:tc>
          <w:tcPr>
            <w:tcW w:type="dxa" w:w="2160"/>
          </w:tcPr>
          <w:p>
            <w:r/>
            <w:r>
              <w:rPr/>
              <w:t>+1</w:t>
            </w:r>
          </w:p>
        </w:tc>
        <w:tc>
          <w:tcPr>
            <w:tcW w:type="dxa" w:w="2160"/>
          </w:tcPr>
          <w:p>
            <w:r/>
            <w:r>
              <w:rPr/>
              <w:t>Q2 FY26</w:t>
            </w:r>
          </w:p>
        </w:tc>
        <w:tc>
          <w:tcPr>
            <w:tcW w:type="dxa" w:w="2160"/>
          </w:tcPr>
          <w:p>
            <w:r/>
            <w:r>
              <w:rPr/>
              <w:t>Senior; CPT pursuit and payer dossiers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/>
      <w:r>
        <w:rPr/>
        <w:t>Critical-Hire Profiles</w:t>
      </w:r>
    </w:p>
    <w:p>
      <w:pPr>
        <w:pStyle w:val="Heading2"/>
      </w:pPr>
      <w:r/>
      <w:r>
        <w:rPr/>
        <w:t>Senior ML Research Scientist</w:t>
      </w:r>
    </w:p>
    <w:p>
      <w:pPr>
        <w:pStyle w:val="ListBullet"/>
      </w:pPr>
      <w:r>
        <w:rPr/>
        <w:t>Profile: PhD ML/CS with publications in medical imaging or causal inference; experience with regulated-AI lifecycle</w:t>
      </w:r>
    </w:p>
    <w:p>
      <w:pPr>
        <w:pStyle w:val="ListBullet"/>
      </w:pPr>
      <w:r>
        <w:rPr/>
        <w:t>Source: MIT CSAIL, Stanford AIMI, Penn medical AI, Google Health, Verily</w:t>
      </w:r>
    </w:p>
    <w:p>
      <w:pPr>
        <w:pStyle w:val="ListBullet"/>
      </w:pPr>
      <w:r>
        <w:rPr/>
        <w:t>Compensation: $260K base + 0.30-0.45% common; in market against Big Tech research roles</w:t>
      </w:r>
    </w:p>
    <w:p>
      <w:pPr>
        <w:pStyle w:val="Heading2"/>
      </w:pPr>
      <w:r/>
      <w:r>
        <w:rPr/>
        <w:t>Senior Enterprise Sales (Cardiac AI / Imaging)</w:t>
      </w:r>
    </w:p>
    <w:p>
      <w:pPr>
        <w:pStyle w:val="ListBullet"/>
      </w:pPr>
      <w:r>
        <w:rPr/>
        <w:t>Profile: 8+ years selling clinical software to AMC and IDN cardiology lines; HeartFlow, Cleerly, Edwards, Abbott CRM alumni preferred</w:t>
      </w:r>
    </w:p>
    <w:p>
      <w:pPr>
        <w:pStyle w:val="ListBullet"/>
      </w:pPr>
      <w:r>
        <w:rPr/>
        <w:t>Compensation: $180K base / $360K OTE / 0.10-0.20% common</w:t>
      </w:r>
    </w:p>
    <w:p>
      <w:pPr>
        <w:pStyle w:val="Heading2"/>
      </w:pPr>
      <w:r/>
      <w:r>
        <w:rPr/>
        <w:t>VP Sales</w:t>
      </w:r>
    </w:p>
    <w:p>
      <w:pPr>
        <w:pStyle w:val="ListBullet"/>
      </w:pPr>
      <w:r>
        <w:rPr/>
        <w:t>Considered for FY27. Profile: built and led a cardiac-AI or specialty-medical-imaging commercial team to $25M+ ARR</w:t>
      </w:r>
    </w:p>
    <w:p>
      <w:pPr>
        <w:pStyle w:val="ListBullet"/>
      </w:pPr>
      <w:r>
        <w:rPr/>
        <w:t>Currently Maya + Sarah + 3 reps; gating decision on VP Sales is pilot conversion velocity</w:t>
      </w:r>
    </w:p>
    <w:p>
      <w:pPr>
        <w:pStyle w:val="Heading1"/>
      </w:pPr>
      <w:r/>
      <w:r>
        <w:rPr/>
        <w:t>Compensation Philosophy</w:t>
      </w:r>
    </w:p>
    <w:p>
      <w:pPr>
        <w:pStyle w:val="ListBullet"/>
      </w:pPr>
      <w:r>
        <w:rPr/>
        <w:t>50th – 75th percentile cash; meaningful equity to compensate for stage risk</w:t>
      </w:r>
    </w:p>
    <w:p>
      <w:pPr>
        <w:pStyle w:val="ListBullet"/>
      </w:pPr>
      <w:r>
        <w:rPr/>
        <w:t>Pay bands published internally; no negotiation distortion</w:t>
      </w:r>
    </w:p>
    <w:p>
      <w:pPr>
        <w:pStyle w:val="ListBullet"/>
      </w:pPr>
      <w:r>
        <w:rPr/>
        <w:t>Annual market refresh (Pave + Carta benchmarks)</w:t>
      </w:r>
    </w:p>
    <w:p>
      <w:pPr>
        <w:pStyle w:val="ListBullet"/>
      </w:pPr>
      <w:r>
        <w:rPr/>
        <w:t>Refresh grants annually for key contributors</w:t>
      </w:r>
    </w:p>
    <w:p>
      <w:pPr>
        <w:pStyle w:val="Heading1"/>
      </w:pPr>
      <w:r/>
      <w:r>
        <w:rPr/>
        <w:t>Diversity and Inclusion</w:t>
      </w:r>
    </w:p>
    <w:p>
      <w:pPr>
        <w:pStyle w:val="ListBullet"/>
      </w:pPr>
      <w:r>
        <w:rPr/>
        <w:t>41% of current headcount identifies as a member of an underrepresented group in technology and/or healthcare</w:t>
      </w:r>
    </w:p>
    <w:p>
      <w:pPr>
        <w:pStyle w:val="ListBullet"/>
      </w:pPr>
      <w:r>
        <w:rPr/>
        <w:t>Two of three executive officers are women</w:t>
      </w:r>
    </w:p>
    <w:p>
      <w:pPr>
        <w:pStyle w:val="ListBullet"/>
      </w:pPr>
      <w:r>
        <w:rPr/>
        <w:t>Hiring funnel metrics (top-of-funnel and through-funnel) tracked; quarterly review</w:t>
      </w:r>
    </w:p>
    <w:p>
      <w:pPr>
        <w:pStyle w:val="ListBullet"/>
      </w:pPr>
      <w:r>
        <w:rPr/>
        <w:t>HealthCo is an Equal Opportunity Employer</w:t>
      </w:r>
    </w:p>
    <w:p>
      <w:pPr>
        <w:pStyle w:val="Heading1"/>
      </w:pPr>
      <w:r/>
      <w:r>
        <w:rPr/>
        <w:t>Retention Risk</w:t>
      </w:r>
    </w:p>
    <w:p>
      <w:r>
        <w:rPr/>
        <w:t>No employee has voluntarily left the company since founding except one engineer (relocation; Q4 2024). Vested-options exercise window extended to 7 years for all common-grant holders, reducing post-departure equity friction. Annual stay-interview cadence implemented Q1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