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09 — Board Materials</w:t>
      </w:r>
    </w:p>
    <w:p>
      <w:pPr>
        <w:pStyle w:val="IntenseQuote"/>
      </w:pPr>
      <w:r>
        <w:rPr>
          <w:i/>
        </w:rPr>
        <w:t>Sample folder. Documents board composition, prior-meeting topics, and material resolutions. Tier 3 (post-term-sheet) only — board materials are sensitive and remain inside the privileged perimeter until exclusivity.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prior-board-decks-index.md</w:t>
      </w:r>
      <w:r>
        <w:rPr/>
        <w:t xml:space="preserve"> — index of prior board meetings and topics covered</w:t>
      </w:r>
    </w:p>
    <w:p>
      <w:pPr>
        <w:pStyle w:val="ListBullet"/>
      </w:pPr>
      <w:r>
        <w:rPr>
          <w:rFonts w:ascii="Consolas" w:hAnsi="Consolas"/>
          <w:sz w:val="20"/>
        </w:rPr>
        <w:t>material-resolutions.md</w:t>
      </w:r>
      <w:r>
        <w:rPr/>
        <w:t xml:space="preserve"> — sample list of material board resolutions</w:t>
      </w:r>
    </w:p>
    <w:p>
      <w:pPr>
        <w:pStyle w:val="ListBullet"/>
      </w:pPr>
      <w:r>
        <w:rPr>
          <w:rFonts w:ascii="Consolas" w:hAnsi="Consolas"/>
          <w:sz w:val="20"/>
        </w:rPr>
        <w:t>governance-structure.md</w:t>
      </w:r>
      <w:r>
        <w:rPr/>
        <w:t xml:space="preserve"> — current and proposed Series-A composition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prior-board-decks-index.md |   |   | x | | material-resolutions.md |   |   | x | | governance-structure.md |   | x | x | | Full board minutes |   |  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