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Governance Structure</w:t>
      </w:r>
    </w:p>
    <w:p>
      <w:pPr>
        <w:pStyle w:val="IntenseQuote"/>
      </w:pPr>
      <w:r>
        <w:rPr>
          <w:i/>
        </w:rPr>
        <w:t>Sample document.</w:t>
      </w:r>
    </w:p>
    <w:p>
      <w:pPr>
        <w:pStyle w:val="Heading1"/>
      </w:pPr>
      <w:r/>
      <w:r>
        <w:rPr/>
        <w:t>Current Board (Pre-Series-A)</w:t>
      </w:r>
    </w:p>
    <w:p>
      <w:r>
        <w:rPr/>
        <w:t>HealthCo's board comprises three voting directors plus one observer: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Seat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Holder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Designation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Designated by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Dr. Maya Chen</w:t>
            </w:r>
          </w:p>
        </w:tc>
        <w:tc>
          <w:tcPr>
            <w:tcW w:type="dxa" w:w="2160"/>
          </w:tcPr>
          <w:p>
            <w:r/>
            <w:r>
              <w:rPr/>
              <w:t>Common (Founder/CEO)</w:t>
            </w:r>
          </w:p>
        </w:tc>
        <w:tc>
          <w:tcPr>
            <w:tcW w:type="dxa" w:w="2160"/>
          </w:tcPr>
          <w:p>
            <w:r/>
            <w:r>
              <w:rPr/>
              <w:t>Common holders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Dr. Raj Iyer</w:t>
            </w:r>
          </w:p>
        </w:tc>
        <w:tc>
          <w:tcPr>
            <w:tcW w:type="dxa" w:w="2160"/>
          </w:tcPr>
          <w:p>
            <w:r/>
            <w:r>
              <w:rPr/>
              <w:t>Common (Founder/CTO)</w:t>
            </w:r>
          </w:p>
        </w:tc>
        <w:tc>
          <w:tcPr>
            <w:tcW w:type="dxa" w:w="2160"/>
          </w:tcPr>
          <w:p>
            <w:r/>
            <w:r>
              <w:rPr/>
              <w:t>Common holders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[Frontier Health Ventures designee]</w:t>
            </w:r>
          </w:p>
        </w:tc>
        <w:tc>
          <w:tcPr>
            <w:tcW w:type="dxa" w:w="2160"/>
          </w:tcPr>
          <w:p>
            <w:r/>
            <w:r>
              <w:rPr/>
              <w:t>Series Seed Preferred</w:t>
            </w:r>
          </w:p>
        </w:tc>
        <w:tc>
          <w:tcPr>
            <w:tcW w:type="dxa" w:w="2160"/>
          </w:tcPr>
          <w:p>
            <w:r/>
            <w:r>
              <w:rPr/>
              <w:t>Lead seed investor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Observer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[Lead angel]</w:t>
            </w:r>
          </w:p>
        </w:tc>
        <w:tc>
          <w:tcPr>
            <w:tcW w:type="dxa" w:w="2160"/>
          </w:tcPr>
          <w:p>
            <w:r/>
            <w:r>
              <w:rPr/>
              <w:t>Observer</w:t>
            </w:r>
          </w:p>
        </w:tc>
        <w:tc>
          <w:tcPr>
            <w:tcW w:type="dxa" w:w="2160"/>
          </w:tcPr>
          <w:p>
            <w:r/>
            <w:r>
              <w:rPr/>
              <w:t>Series Seed Preferred (advisory; non-voting)</w:t>
            </w:r>
          </w:p>
        </w:tc>
      </w:tr>
    </w:tbl>
    <w:p>
      <w:r>
        <w:rPr/>
        <w:t>The bylaws and Voting Agreement (executed at seed close) provide for two Common-designated seats and one Preferred-designated seat.</w:t>
      </w:r>
    </w:p>
    <w:p>
      <w:pPr>
        <w:pStyle w:val="Heading1"/>
      </w:pPr>
      <w:r/>
      <w:r>
        <w:rPr/>
        <w:t>Committees</w:t>
      </w:r>
    </w:p>
    <w:p>
      <w:pPr>
        <w:pStyle w:val="ListBullet"/>
      </w:pPr>
      <w:r>
        <w:rPr>
          <w:b/>
        </w:rPr>
        <w:t>Compensation Committee</w:t>
      </w:r>
      <w:r>
        <w:rPr/>
        <w:t xml:space="preserve"> — Maya Chen + Series Seed designee. Approves grants below VP under delegated authority.</w:t>
      </w:r>
    </w:p>
    <w:p>
      <w:pPr>
        <w:pStyle w:val="ListBullet"/>
      </w:pPr>
      <w:r>
        <w:rPr>
          <w:b/>
        </w:rPr>
        <w:t>Audit Committee</w:t>
      </w:r>
      <w:r>
        <w:rPr/>
        <w:t xml:space="preserve"> — Series Seed designee chairs; Sarah Whittaker (COO) attends as management. Reviews quarterly financials and audit scope.</w:t>
      </w:r>
    </w:p>
    <w:p>
      <w:pPr>
        <w:pStyle w:val="Heading1"/>
      </w:pPr>
      <w:r/>
      <w:r>
        <w:rPr/>
        <w:t>Proposed Post-Series-A Composition</w:t>
      </w:r>
    </w:p>
    <w:p>
      <w:r>
        <w:rPr/>
        <w:t xml:space="preserve">Subject to Series A term sheet, the proposed post-close board is </w:t>
      </w:r>
      <w:r>
        <w:rPr>
          <w:b/>
        </w:rPr>
        <w:t>5 voting directors + 2 observers</w:t>
      </w:r>
      <w:r>
        <w:rPr/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Seat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Holder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Designation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1</w:t>
            </w:r>
          </w:p>
        </w:tc>
        <w:tc>
          <w:tcPr>
            <w:tcW w:type="dxa" w:w="2880"/>
          </w:tcPr>
          <w:p>
            <w:r/>
            <w:r>
              <w:rPr/>
              <w:t>Dr. Maya Chen</w:t>
            </w:r>
          </w:p>
        </w:tc>
        <w:tc>
          <w:tcPr>
            <w:tcW w:type="dxa" w:w="2880"/>
          </w:tcPr>
          <w:p>
            <w:r/>
            <w:r>
              <w:rPr/>
              <w:t>Common (Founder/CEO)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2</w:t>
            </w:r>
          </w:p>
        </w:tc>
        <w:tc>
          <w:tcPr>
            <w:tcW w:type="dxa" w:w="2880"/>
          </w:tcPr>
          <w:p>
            <w:r/>
            <w:r>
              <w:rPr/>
              <w:t>Dr. Raj Iyer</w:t>
            </w:r>
          </w:p>
        </w:tc>
        <w:tc>
          <w:tcPr>
            <w:tcW w:type="dxa" w:w="2880"/>
          </w:tcPr>
          <w:p>
            <w:r/>
            <w:r>
              <w:rPr/>
              <w:t>Common (Founder/CTO)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Series A Lead designee</w:t>
            </w:r>
          </w:p>
        </w:tc>
        <w:tc>
          <w:tcPr>
            <w:tcW w:type="dxa" w:w="2880"/>
          </w:tcPr>
          <w:p>
            <w:r/>
            <w:r>
              <w:rPr/>
              <w:t>Series A Preferred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Series Seed continuing designee</w:t>
            </w:r>
          </w:p>
        </w:tc>
        <w:tc>
          <w:tcPr>
            <w:tcW w:type="dxa" w:w="2880"/>
          </w:tcPr>
          <w:p>
            <w:r/>
            <w:r>
              <w:rPr/>
              <w:t>Series Seed Preferred (consolidated; or board reduces to 4)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Independent director</w:t>
            </w:r>
            <w:r>
              <w:rPr/>
              <w:t xml:space="preserve"> (mutually agreed)</w:t>
            </w:r>
          </w:p>
        </w:tc>
        <w:tc>
          <w:tcPr>
            <w:tcW w:type="dxa" w:w="2880"/>
          </w:tcPr>
          <w:p>
            <w:r/>
            <w:r>
              <w:rPr/>
              <w:t>Independent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Observer 1</w:t>
            </w:r>
          </w:p>
        </w:tc>
        <w:tc>
          <w:tcPr>
            <w:tcW w:type="dxa" w:w="2880"/>
          </w:tcPr>
          <w:p>
            <w:r/>
            <w:r>
              <w:rPr/>
              <w:t>Series A co-lead (if any)</w:t>
            </w:r>
          </w:p>
        </w:tc>
        <w:tc>
          <w:tcPr>
            <w:tcW w:type="dxa" w:w="2880"/>
          </w:tcPr>
          <w:p>
            <w:r/>
            <w:r>
              <w:rPr/>
              <w:t>Series A Preferred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Observer 2</w:t>
            </w:r>
          </w:p>
        </w:tc>
        <w:tc>
          <w:tcPr>
            <w:tcW w:type="dxa" w:w="2880"/>
          </w:tcPr>
          <w:p>
            <w:r/>
            <w:r>
              <w:rPr/>
              <w:t>Continuing seed observer</w:t>
            </w:r>
          </w:p>
        </w:tc>
        <w:tc>
          <w:tcPr>
            <w:tcW w:type="dxa" w:w="2880"/>
          </w:tcPr>
          <w:p>
            <w:r/>
            <w:r>
              <w:rPr/>
              <w:t>Series Seed Preferred</w:t>
            </w:r>
          </w:p>
        </w:tc>
      </w:tr>
    </w:tbl>
    <w:p>
      <w:r>
        <w:rPr/>
        <w:t>The independent seat is a Series-A-conditional addition — HealthCo is in active recruitment for an independent director with a profile combining (a) prior public-market or major late-stage healthcare-software CFO/CEO experience and (b) credibility with FDA and reimbursement matters. Term sheets typically anticipate this seat being filled within 6 months of close.</w:t>
      </w:r>
    </w:p>
    <w:p>
      <w:pPr>
        <w:pStyle w:val="Heading1"/>
      </w:pPr>
      <w:r/>
      <w:r>
        <w:rPr/>
        <w:t>Protective Provisions (Anticipated Post-Series-A)</w:t>
      </w:r>
    </w:p>
    <w:p>
      <w:r>
        <w:rPr/>
        <w:t>The Series A Voting Agreement and Charter are expected to provide for standard NVCA-form protective provisions for the Preferred class, including:</w:t>
      </w:r>
    </w:p>
    <w:p>
      <w:pPr>
        <w:pStyle w:val="ListBullet"/>
      </w:pPr>
      <w:r>
        <w:rPr/>
        <w:t>Approval of dividends, redemptions, liquidation</w:t>
      </w:r>
    </w:p>
    <w:p>
      <w:pPr>
        <w:pStyle w:val="ListBullet"/>
      </w:pPr>
      <w:r>
        <w:rPr/>
        <w:t>Approval of senior or pari-passu securities</w:t>
      </w:r>
    </w:p>
    <w:p>
      <w:pPr>
        <w:pStyle w:val="ListBullet"/>
      </w:pPr>
      <w:r>
        <w:rPr/>
        <w:t>Approval of incurring debt above a threshold (proposed $1M)</w:t>
      </w:r>
    </w:p>
    <w:p>
      <w:pPr>
        <w:pStyle w:val="ListBullet"/>
      </w:pPr>
      <w:r>
        <w:rPr/>
        <w:t>Approval of M&amp;A or change of control</w:t>
      </w:r>
    </w:p>
    <w:p>
      <w:pPr>
        <w:pStyle w:val="ListBullet"/>
      </w:pPr>
      <w:r>
        <w:rPr/>
        <w:t>Approval of changes to authorized board size</w:t>
      </w:r>
    </w:p>
    <w:p>
      <w:pPr>
        <w:pStyle w:val="ListBullet"/>
      </w:pPr>
      <w:r>
        <w:rPr/>
        <w:t>Approval of material changes to scope of business</w:t>
      </w:r>
    </w:p>
    <w:p>
      <w:r>
        <w:rPr/>
        <w:t>These will be confirmed in the executed Series A documents.</w:t>
      </w:r>
    </w:p>
    <w:p>
      <w:pPr>
        <w:pStyle w:val="Heading1"/>
      </w:pPr>
      <w:r/>
      <w:r>
        <w:rPr/>
        <w:t>Information Rights</w:t>
      </w:r>
    </w:p>
    <w:p>
      <w:pPr>
        <w:pStyle w:val="ListBullet"/>
      </w:pPr>
      <w:r>
        <w:rPr/>
        <w:t>Major investors (typically defined as ≥$1M invested) receive monthly financial reports, quarterly board materials, and annual budget</w:t>
      </w:r>
    </w:p>
    <w:p>
      <w:pPr>
        <w:pStyle w:val="ListBullet"/>
      </w:pPr>
      <w:r>
        <w:rPr/>
        <w:t>Standard inspection rights consistent with NVCA model docs</w:t>
      </w:r>
    </w:p>
    <w:p>
      <w:pPr>
        <w:pStyle w:val="ListBullet"/>
      </w:pPr>
      <w:r>
        <w:rPr/>
        <w:t>Pro-rata rights through Series B for major investors</w:t>
      </w:r>
    </w:p>
    <w:p>
      <w:pPr>
        <w:pStyle w:val="Heading1"/>
      </w:pPr>
      <w:r/>
      <w:r>
        <w:rPr/>
        <w:t>Director Compensation</w:t>
      </w:r>
    </w:p>
    <w:p>
      <w:pPr>
        <w:pStyle w:val="ListBullet"/>
      </w:pPr>
      <w:r>
        <w:rPr/>
        <w:t>Investor-designee directors are not separately compensated by HealthCo (compensation flows through fund management fees / carry)</w:t>
      </w:r>
    </w:p>
    <w:p>
      <w:pPr>
        <w:pStyle w:val="ListBullet"/>
      </w:pPr>
      <w:r>
        <w:rPr/>
        <w:t>The independent director is expected to receive an option grant of approximately 0.30 – 0.50% common, vesting monthly over 24 months, plus annual cash retainer in the range typical for late-Series-A medical-device boards</w:t>
      </w:r>
    </w:p>
    <w:p>
      <w:pPr>
        <w:pStyle w:val="Heading1"/>
      </w:pPr>
      <w:r/>
      <w:r>
        <w:rPr/>
        <w:t>D&amp;O Insurance</w:t>
      </w:r>
    </w:p>
    <w:p>
      <w:r>
        <w:rPr/>
        <w:t>HealthCo maintains a Directors and Officers liability insurance policy (carrier: Beazley); current limit $5M, expected uplift to $10M at Series A close. Policy includes Side A coverage and standard side-by-side coverage.</w:t>
      </w:r>
    </w:p>
    <w:p>
      <w:pPr>
        <w:pStyle w:val="Heading1"/>
      </w:pPr>
      <w:r/>
      <w:r>
        <w:rPr/>
        <w:t>Counsel</w:t>
      </w:r>
    </w:p>
    <w:p>
      <w:r>
        <w:rPr/>
        <w:t>Cooley LLP advises the company on all governance matters. Investor counsel typically negotiates Series A documents on behalf of the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