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Material Board Resolutions — Index</w:t>
      </w:r>
    </w:p>
    <w:p>
      <w:pPr>
        <w:pStyle w:val="IntenseQuote"/>
      </w:pPr>
      <w:r>
        <w:rPr>
          <w:i/>
        </w:rPr>
        <w:t>Sample document. Tier 3 only. Lists categories and representative examples; full resolution texts are in the corporate minute book maintained by Cooley LLP.</w:t>
      </w:r>
    </w:p>
    <w:p>
      <w:pPr>
        <w:pStyle w:val="Heading1"/>
      </w:pPr>
      <w:r/>
      <w:r>
        <w:rPr/>
        <w:t>Categories</w:t>
      </w:r>
    </w:p>
    <w:p>
      <w:r>
        <w:rPr/>
        <w:t>HealthCo's board acts on the following categories of resolutions, consistent with the company's bylaws and the seed-round protective provisions:</w:t>
      </w:r>
    </w:p>
    <w:p>
      <w:pPr>
        <w:pStyle w:val="ListNumber"/>
      </w:pPr>
      <w:r>
        <w:rPr/>
        <w:t>Capital structure (issuance of equity, conversion of SAFEs, option pool adjustments)</w:t>
      </w:r>
    </w:p>
    <w:p>
      <w:pPr>
        <w:pStyle w:val="ListNumber"/>
      </w:pPr>
      <w:r>
        <w:rPr/>
        <w:t>Significant agreements (lead-customer MSAs, M&amp;A LOIs, strategic partnerships)</w:t>
      </w:r>
    </w:p>
    <w:p>
      <w:pPr>
        <w:pStyle w:val="ListNumber"/>
      </w:pPr>
      <w:r>
        <w:rPr/>
        <w:t>Officers and equity grants</w:t>
      </w:r>
    </w:p>
    <w:p>
      <w:pPr>
        <w:pStyle w:val="ListNumber"/>
      </w:pPr>
      <w:r>
        <w:rPr/>
        <w:t>Banking and financial authorizations</w:t>
      </w:r>
    </w:p>
    <w:p>
      <w:pPr>
        <w:pStyle w:val="ListNumber"/>
      </w:pPr>
      <w:r>
        <w:rPr/>
        <w:t>Annual plan and budget</w:t>
      </w:r>
    </w:p>
    <w:p>
      <w:pPr>
        <w:pStyle w:val="ListNumber"/>
      </w:pPr>
      <w:r>
        <w:rPr/>
        <w:t>Regulatory submissions and material milestones</w:t>
      </w:r>
    </w:p>
    <w:p>
      <w:pPr>
        <w:pStyle w:val="ListNumber"/>
      </w:pPr>
      <w:r>
        <w:rPr/>
        <w:t>Indebtedness and lease commitments</w:t>
      </w:r>
    </w:p>
    <w:p>
      <w:pPr>
        <w:pStyle w:val="ListNumber"/>
      </w:pPr>
      <w:r>
        <w:rPr/>
        <w:t>Audit committee and accounting matters</w:t>
      </w:r>
    </w:p>
    <w:p>
      <w:pPr>
        <w:pStyle w:val="Heading1"/>
      </w:pPr>
      <w:r/>
      <w:r>
        <w:rPr/>
        <w:t>Representative Resolutions (sample list)</w:t>
      </w:r>
    </w:p>
    <w:p>
      <w:pPr>
        <w:pStyle w:val="Heading2"/>
      </w:pPr>
      <w:r/>
      <w:r>
        <w:rPr/>
        <w:t>Capital Structure</w:t>
      </w:r>
    </w:p>
    <w:p>
      <w:pPr>
        <w:pStyle w:val="ListBullet"/>
      </w:pPr>
      <w:r>
        <w:rPr>
          <w:b/>
        </w:rPr>
        <w:t>2022-09-22</w:t>
      </w:r>
      <w:r>
        <w:rPr/>
        <w:t xml:space="preserve"> — Approved Amended and Restated Certificate of Incorporation in connection with Series Seed financing; established Series Seed Preferred at $0.94 per share</w:t>
      </w:r>
    </w:p>
    <w:p>
      <w:pPr>
        <w:pStyle w:val="ListBullet"/>
      </w:pPr>
      <w:r>
        <w:rPr>
          <w:b/>
        </w:rPr>
        <w:t>2023-10-19</w:t>
      </w:r>
      <w:r>
        <w:rPr/>
        <w:t xml:space="preserve"> — Approved $2.0M SAFE bridge ($25M post-money cap, 20% discount, MFN); authorized officers to execute SAFE documents in standard form</w:t>
      </w:r>
    </w:p>
    <w:p>
      <w:pPr>
        <w:pStyle w:val="ListBullet"/>
      </w:pPr>
      <w:r>
        <w:rPr>
          <w:b/>
        </w:rPr>
        <w:t>2025-11-18</w:t>
      </w:r>
      <w:r>
        <w:rPr/>
        <w:t xml:space="preserve"> — Approved Pre-Money Option Pool refresh authority for Series A in anticipation of round close; authorized issuance of additional 1,250,000 shares to the option plan</w:t>
      </w:r>
    </w:p>
    <w:p>
      <w:pPr>
        <w:pStyle w:val="Heading2"/>
      </w:pPr>
      <w:r/>
      <w:r>
        <w:rPr/>
        <w:t>Significant Agreements</w:t>
      </w:r>
    </w:p>
    <w:p>
      <w:pPr>
        <w:pStyle w:val="ListBullet"/>
      </w:pPr>
      <w:r>
        <w:rPr>
          <w:b/>
        </w:rPr>
        <w:t>2023-04-20</w:t>
      </w:r>
      <w:r>
        <w:rPr/>
        <w:t xml:space="preserve"> — Authorized execution of Master Services Agreement with Mass General Brigham</w:t>
      </w:r>
    </w:p>
    <w:p>
      <w:pPr>
        <w:pStyle w:val="ListBullet"/>
      </w:pPr>
      <w:r>
        <w:rPr>
          <w:b/>
        </w:rPr>
        <w:t>2023-09-21</w:t>
      </w:r>
      <w:r>
        <w:rPr/>
        <w:t xml:space="preserve"> — Authorized execution of Master Services Agreement with Cleveland Clinic Foundation</w:t>
      </w:r>
    </w:p>
    <w:p>
      <w:pPr>
        <w:pStyle w:val="ListBullet"/>
      </w:pPr>
      <w:r>
        <w:rPr>
          <w:b/>
        </w:rPr>
        <w:t>2024-04-18</w:t>
      </w:r>
      <w:r>
        <w:rPr/>
        <w:t xml:space="preserve"> — Authorized execution of Epic App Orchard developer agreement</w:t>
      </w:r>
    </w:p>
    <w:p>
      <w:pPr>
        <w:pStyle w:val="ListBullet"/>
      </w:pPr>
      <w:r>
        <w:rPr>
          <w:b/>
        </w:rPr>
        <w:t>2025-04-22</w:t>
      </w:r>
      <w:r>
        <w:rPr/>
        <w:t xml:space="preserve"> — Authorized publication of validation results in JACC: CV Imaging consistent with HealthCo's IP and confidentiality posture</w:t>
      </w:r>
    </w:p>
    <w:p>
      <w:pPr>
        <w:pStyle w:val="Heading2"/>
      </w:pPr>
      <w:r/>
      <w:r>
        <w:rPr/>
        <w:t>Officers and Equity Grants</w:t>
      </w:r>
    </w:p>
    <w:p>
      <w:pPr>
        <w:pStyle w:val="ListBullet"/>
      </w:pPr>
      <w:r>
        <w:rPr/>
        <w:t>Quarterly resolutions approving employee option grants pursuant to the 2021 Equity Incentive Plan, with all grants priced at the most recent 409A FMV</w:t>
      </w:r>
    </w:p>
    <w:p>
      <w:pPr>
        <w:pStyle w:val="ListBullet"/>
      </w:pPr>
      <w:r>
        <w:rPr>
          <w:b/>
        </w:rPr>
        <w:t>2024-09-12</w:t>
      </w:r>
      <w:r>
        <w:rPr/>
        <w:t xml:space="preserve"> — Granted post-clearance recognition refresh to founders and senior employees (per Compensation Committee recommendation)</w:t>
      </w:r>
    </w:p>
    <w:p>
      <w:pPr>
        <w:pStyle w:val="ListBullet"/>
      </w:pPr>
      <w:r>
        <w:rPr>
          <w:b/>
        </w:rPr>
        <w:t>2025-07-22</w:t>
      </w:r>
      <w:r>
        <w:rPr/>
        <w:t xml:space="preserve"> — Refreshed advisor grants for the three named clinical KOLs (Falk, Maurer, Sperry)</w:t>
      </w:r>
    </w:p>
    <w:p>
      <w:pPr>
        <w:pStyle w:val="Heading2"/>
      </w:pPr>
      <w:r/>
      <w:r>
        <w:rPr/>
        <w:t>Banking and Financial Authorizations</w:t>
      </w:r>
    </w:p>
    <w:p>
      <w:pPr>
        <w:pStyle w:val="ListBullet"/>
      </w:pPr>
      <w:r>
        <w:rPr>
          <w:b/>
        </w:rPr>
        <w:t>2022-09-25</w:t>
      </w:r>
      <w:r>
        <w:rPr/>
        <w:t xml:space="preserve"> — Authorized accounts at JPMorgan Chase and First Republic (later transitioned to JPMorgan post the SVB-FRB events of 2023)</w:t>
      </w:r>
    </w:p>
    <w:p>
      <w:pPr>
        <w:pStyle w:val="ListBullet"/>
      </w:pPr>
      <w:r>
        <w:rPr>
          <w:b/>
        </w:rPr>
        <w:t>2023-04-15</w:t>
      </w:r>
      <w:r>
        <w:rPr/>
        <w:t xml:space="preserve"> — Authorized cash management policy: 100% of cash held in Treasury-only money market funds and operating cash with insured-bank deposits</w:t>
      </w:r>
    </w:p>
    <w:p>
      <w:pPr>
        <w:pStyle w:val="ListBullet"/>
      </w:pPr>
      <w:r>
        <w:rPr>
          <w:b/>
        </w:rPr>
        <w:t>2025-01-21</w:t>
      </w:r>
      <w:r>
        <w:rPr/>
        <w:t xml:space="preserve"> — Authorized Datasite as the diligence-room provider for the Series A process</w:t>
      </w:r>
    </w:p>
    <w:p>
      <w:pPr>
        <w:pStyle w:val="Heading2"/>
      </w:pPr>
      <w:r/>
      <w:r>
        <w:rPr/>
        <w:t>Annual Plan and Budget</w:t>
      </w:r>
    </w:p>
    <w:p>
      <w:pPr>
        <w:pStyle w:val="ListBullet"/>
      </w:pPr>
      <w:r>
        <w:rPr/>
        <w:t>Annual budget approved each January (records 2023, 2024, 2025, 2026)</w:t>
      </w:r>
    </w:p>
    <w:p>
      <w:pPr>
        <w:pStyle w:val="ListBullet"/>
      </w:pPr>
      <w:r>
        <w:rPr/>
        <w:t>FY26 budget approved 2026-01-20 with Series A close as a gating assumption</w:t>
      </w:r>
    </w:p>
    <w:p>
      <w:pPr>
        <w:pStyle w:val="Heading2"/>
      </w:pPr>
      <w:r/>
      <w:r>
        <w:rPr/>
        <w:t>Regulatory Submissions</w:t>
      </w:r>
    </w:p>
    <w:p>
      <w:pPr>
        <w:pStyle w:val="ListBullet"/>
      </w:pPr>
      <w:r>
        <w:rPr>
          <w:b/>
        </w:rPr>
        <w:t>2023-08-15</w:t>
      </w:r>
      <w:r>
        <w:rPr/>
        <w:t xml:space="preserve"> — Authorized submission of K243178 510(k)</w:t>
      </w:r>
    </w:p>
    <w:p>
      <w:pPr>
        <w:pStyle w:val="ListBullet"/>
      </w:pPr>
      <w:r>
        <w:rPr>
          <w:b/>
        </w:rPr>
        <w:t>2025-12-10</w:t>
      </w:r>
      <w:r>
        <w:rPr/>
        <w:t xml:space="preserve"> — Authorized submission of De Novo for auto-strain feature with PCCP</w:t>
      </w:r>
    </w:p>
    <w:p>
      <w:pPr>
        <w:pStyle w:val="Heading2"/>
      </w:pPr>
      <w:r/>
      <w:r>
        <w:rPr/>
        <w:t>Indebtedness</w:t>
      </w:r>
    </w:p>
    <w:p>
      <w:pPr>
        <w:pStyle w:val="ListBullet"/>
      </w:pPr>
      <w:r>
        <w:rPr/>
        <w:t>None. The board has not authorized any debt facility, equipment lease above $25K, or venture-debt arrangement.</w:t>
      </w:r>
    </w:p>
    <w:p>
      <w:pPr>
        <w:pStyle w:val="Heading2"/>
      </w:pPr>
      <w:r/>
      <w:r>
        <w:rPr/>
        <w:t>Audit and Accounting</w:t>
      </w:r>
    </w:p>
    <w:p>
      <w:pPr>
        <w:pStyle w:val="ListBullet"/>
      </w:pPr>
      <w:r>
        <w:rPr>
          <w:b/>
        </w:rPr>
        <w:t>2023-01-19</w:t>
      </w:r>
      <w:r>
        <w:rPr/>
        <w:t xml:space="preserve"> — Engaged KPMG (regional practice) as independent auditor; engagement renewed annually</w:t>
      </w:r>
    </w:p>
    <w:p>
      <w:pPr>
        <w:pStyle w:val="ListBullet"/>
      </w:pPr>
      <w:r>
        <w:rPr>
          <w:b/>
        </w:rPr>
        <w:t>2025-04-22</w:t>
      </w:r>
      <w:r>
        <w:rPr/>
        <w:t xml:space="preserve"> — Approved retention of KPMG for FY24 audit; approved adoption of ASC 842 for new lease accounting</w:t>
      </w:r>
    </w:p>
    <w:p>
      <w:pPr>
        <w:pStyle w:val="Heading1"/>
      </w:pPr>
      <w:r/>
      <w:r>
        <w:rPr/>
        <w:t>Compensation Committee Actions</w:t>
      </w:r>
    </w:p>
    <w:p>
      <w:r>
        <w:rPr/>
        <w:t>The Compensation Committee (Maya Chen + Series Seed lead designee) acts under delegated authority for individual employee compensation decisions below VP. Material executive comp actions (founder refresh, executive new-hire packages) are taken by the full board.</w:t>
      </w:r>
    </w:p>
    <w:p>
      <w:pPr>
        <w:pStyle w:val="Heading1"/>
      </w:pPr>
      <w:r/>
      <w:r>
        <w:rPr/>
        <w:t>Audit Committee Actions</w:t>
      </w:r>
    </w:p>
    <w:p>
      <w:r>
        <w:rPr/>
        <w:t>Formed as a sub-function with the Series Seed lead designee chairing. Reviews quarterly financials, audit scope, and accounting policy changes. Will be formally reconstituted with Series A lead participation post-close.</w:t>
      </w:r>
    </w:p>
    <w:p>
      <w:pPr>
        <w:pStyle w:val="Heading1"/>
      </w:pPr>
      <w:r/>
      <w:r>
        <w:rPr/>
        <w:t>Counsel</w:t>
      </w:r>
    </w:p>
    <w:p>
      <w:r>
        <w:rPr/>
        <w:t>Cooley LLP maintains the corporate minute book and prepares all material resolutions. Full resolution texts are released to Tier 3 investors via Cooley's privileged-data-room subset of Datasite.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