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Prior Board Decks — Index</w:t>
      </w:r>
    </w:p>
    <w:p>
      <w:pPr>
        <w:pStyle w:val="IntenseQuote"/>
      </w:pPr>
      <w:r>
        <w:rPr>
          <w:i/>
        </w:rPr>
        <w:t>Sample document. Tier 3 only. The actual decks are held in a privileged-access folder; this index describes them for diligence purposes.</w:t>
      </w:r>
    </w:p>
    <w:p>
      <w:r>
        <w:rPr/>
        <w:t xml:space="preserve">HealthCo's board has met </w:t>
      </w:r>
      <w:r>
        <w:rPr>
          <w:b/>
        </w:rPr>
        <w:t>quarterly</w:t>
      </w:r>
      <w:r>
        <w:rPr/>
        <w:t xml:space="preserve"> since the seed round (Sep 2022), with two interim sessions in 2024 around the 510(k) clearance and the De Novo planning. Each meeting follows a standard agenda: financial update, KPI dashboard, function deep-dive, regulatory update, board topic of the meeting, and executive session.</w:t>
      </w:r>
    </w:p>
    <w:p>
      <w:pPr>
        <w:pStyle w:val="Heading1"/>
      </w:pPr>
      <w:r/>
      <w:r>
        <w:rPr/>
        <w:t>Meeting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Topic of Meeting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Headlines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</w:t>
            </w:r>
          </w:p>
        </w:tc>
        <w:tc>
          <w:tcPr>
            <w:tcW w:type="dxa" w:w="2160"/>
          </w:tcPr>
          <w:p>
            <w:r/>
            <w:r>
              <w:rPr/>
              <w:t>2022-10-14</w:t>
            </w:r>
          </w:p>
        </w:tc>
        <w:tc>
          <w:tcPr>
            <w:tcW w:type="dxa" w:w="2160"/>
          </w:tcPr>
          <w:p>
            <w:r/>
            <w:r>
              <w:rPr/>
              <w:t>Post-seed-close kickoff</w:t>
            </w:r>
          </w:p>
        </w:tc>
        <w:tc>
          <w:tcPr>
            <w:tcW w:type="dxa" w:w="2160"/>
          </w:tcPr>
          <w:p>
            <w:r/>
            <w:r>
              <w:rPr/>
              <w:t>Foundation; team build plan; 510(k) project plan ratified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2</w:t>
            </w:r>
          </w:p>
        </w:tc>
        <w:tc>
          <w:tcPr>
            <w:tcW w:type="dxa" w:w="2160"/>
          </w:tcPr>
          <w:p>
            <w:r/>
            <w:r>
              <w:rPr/>
              <w:t>2023-01-19</w:t>
            </w:r>
          </w:p>
        </w:tc>
        <w:tc>
          <w:tcPr>
            <w:tcW w:type="dxa" w:w="2160"/>
          </w:tcPr>
          <w:p>
            <w:r/>
            <w:r>
              <w:rPr/>
              <w:t>FY23 operating plan</w:t>
            </w:r>
          </w:p>
        </w:tc>
        <w:tc>
          <w:tcPr>
            <w:tcW w:type="dxa" w:w="2160"/>
          </w:tcPr>
          <w:p>
            <w:r/>
            <w:r>
              <w:rPr/>
              <w:t>Budget approved; pilot site target list ratified (initial 5 sites)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3</w:t>
            </w:r>
          </w:p>
        </w:tc>
        <w:tc>
          <w:tcPr>
            <w:tcW w:type="dxa" w:w="2160"/>
          </w:tcPr>
          <w:p>
            <w:r/>
            <w:r>
              <w:rPr/>
              <w:t>2023-04-20</w:t>
            </w:r>
          </w:p>
        </w:tc>
        <w:tc>
          <w:tcPr>
            <w:tcW w:type="dxa" w:w="2160"/>
          </w:tcPr>
          <w:p>
            <w:r/>
            <w:r>
              <w:rPr/>
              <w:t>First pilot live (MGB)</w:t>
            </w:r>
          </w:p>
        </w:tc>
        <w:tc>
          <w:tcPr>
            <w:tcW w:type="dxa" w:w="2160"/>
          </w:tcPr>
          <w:p>
            <w:r/>
            <w:r>
              <w:rPr/>
              <w:t>Operational learnings; PACS integration retro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4</w:t>
            </w:r>
          </w:p>
        </w:tc>
        <w:tc>
          <w:tcPr>
            <w:tcW w:type="dxa" w:w="2160"/>
          </w:tcPr>
          <w:p>
            <w:r/>
            <w:r>
              <w:rPr/>
              <w:t>2023-07-18</w:t>
            </w:r>
          </w:p>
        </w:tc>
        <w:tc>
          <w:tcPr>
            <w:tcW w:type="dxa" w:w="2160"/>
          </w:tcPr>
          <w:p>
            <w:r/>
            <w:r>
              <w:rPr/>
              <w:t>510(k) submission readiness</w:t>
            </w:r>
          </w:p>
        </w:tc>
        <w:tc>
          <w:tcPr>
            <w:tcW w:type="dxa" w:w="2160"/>
          </w:tcPr>
          <w:p>
            <w:r/>
            <w:r>
              <w:rPr/>
              <w:t>Submission timeline approved; bench-test results reviewed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5</w:t>
            </w:r>
          </w:p>
        </w:tc>
        <w:tc>
          <w:tcPr>
            <w:tcW w:type="dxa" w:w="2160"/>
          </w:tcPr>
          <w:p>
            <w:r/>
            <w:r>
              <w:rPr/>
              <w:t>2023-10-19</w:t>
            </w:r>
          </w:p>
        </w:tc>
        <w:tc>
          <w:tcPr>
            <w:tcW w:type="dxa" w:w="2160"/>
          </w:tcPr>
          <w:p>
            <w:r/>
            <w:r>
              <w:rPr/>
              <w:t>Q3 review; Cleveland Clinic live</w:t>
            </w:r>
          </w:p>
        </w:tc>
        <w:tc>
          <w:tcPr>
            <w:tcW w:type="dxa" w:w="2160"/>
          </w:tcPr>
          <w:p>
            <w:r/>
            <w:r>
              <w:rPr/>
              <w:t>SAFE bridge approved ($2.0M cap, 20% discount)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6</w:t>
            </w:r>
          </w:p>
        </w:tc>
        <w:tc>
          <w:tcPr>
            <w:tcW w:type="dxa" w:w="2160"/>
          </w:tcPr>
          <w:p>
            <w:r/>
            <w:r>
              <w:rPr/>
              <w:t>2024-01-23</w:t>
            </w:r>
          </w:p>
        </w:tc>
        <w:tc>
          <w:tcPr>
            <w:tcW w:type="dxa" w:w="2160"/>
          </w:tcPr>
          <w:p>
            <w:r/>
            <w:r>
              <w:rPr/>
              <w:t>FY24 operating plan</w:t>
            </w:r>
          </w:p>
        </w:tc>
        <w:tc>
          <w:tcPr>
            <w:tcW w:type="dxa" w:w="2160"/>
          </w:tcPr>
          <w:p>
            <w:r/>
            <w:r>
              <w:rPr/>
              <w:t>Budget approved; FY24 hiring plan approved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7</w:t>
            </w:r>
          </w:p>
        </w:tc>
        <w:tc>
          <w:tcPr>
            <w:tcW w:type="dxa" w:w="2160"/>
          </w:tcPr>
          <w:p>
            <w:r/>
            <w:r>
              <w:rPr/>
              <w:t>2024-04-18</w:t>
            </w:r>
          </w:p>
        </w:tc>
        <w:tc>
          <w:tcPr>
            <w:tcW w:type="dxa" w:w="2160"/>
          </w:tcPr>
          <w:p>
            <w:r/>
            <w:r>
              <w:rPr/>
              <w:t>ISO 13485 certification milestone</w:t>
            </w:r>
          </w:p>
        </w:tc>
        <w:tc>
          <w:tcPr>
            <w:tcW w:type="dxa" w:w="2160"/>
          </w:tcPr>
          <w:p>
            <w:r/>
            <w:r>
              <w:rPr/>
              <w:t>Certification complete; QMS framework reviewed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8</w:t>
            </w:r>
          </w:p>
        </w:tc>
        <w:tc>
          <w:tcPr>
            <w:tcW w:type="dxa" w:w="2160"/>
          </w:tcPr>
          <w:p>
            <w:r/>
            <w:r>
              <w:rPr/>
              <w:t>2024-07-23</w:t>
            </w:r>
          </w:p>
        </w:tc>
        <w:tc>
          <w:tcPr>
            <w:tcW w:type="dxa" w:w="2160"/>
          </w:tcPr>
          <w:p>
            <w:r/>
            <w:r>
              <w:rPr/>
              <w:t>510(k) clearance preparation</w:t>
            </w:r>
          </w:p>
        </w:tc>
        <w:tc>
          <w:tcPr>
            <w:tcW w:type="dxa" w:w="2160"/>
          </w:tcPr>
          <w:p>
            <w:r/>
            <w:r>
              <w:rPr/>
              <w:t>Pre-clearance commercial readiness; pricing posture endorsed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9</w:t>
            </w:r>
          </w:p>
        </w:tc>
        <w:tc>
          <w:tcPr>
            <w:tcW w:type="dxa" w:w="2160"/>
          </w:tcPr>
          <w:p>
            <w:r/>
            <w:r>
              <w:rPr/>
              <w:t>2024-09-12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Special meeting — 510(k) cleared</w:t>
            </w:r>
          </w:p>
        </w:tc>
        <w:tc>
          <w:tcPr>
            <w:tcW w:type="dxa" w:w="2160"/>
          </w:tcPr>
          <w:p>
            <w:r/>
            <w:r>
              <w:rPr/>
              <w:t>Clearance announced (K243178); commercial launch plan approved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10</w:t>
            </w:r>
          </w:p>
        </w:tc>
        <w:tc>
          <w:tcPr>
            <w:tcW w:type="dxa" w:w="2160"/>
          </w:tcPr>
          <w:p>
            <w:r/>
            <w:r>
              <w:rPr/>
              <w:t>2024-10-22</w:t>
            </w:r>
          </w:p>
        </w:tc>
        <w:tc>
          <w:tcPr>
            <w:tcW w:type="dxa" w:w="2160"/>
          </w:tcPr>
          <w:p>
            <w:r/>
            <w:r>
              <w:rPr/>
              <w:t>Q3 commercial ramp</w:t>
            </w:r>
          </w:p>
        </w:tc>
        <w:tc>
          <w:tcPr>
            <w:tcW w:type="dxa" w:w="2160"/>
          </w:tcPr>
          <w:p>
            <w:r/>
            <w:r>
              <w:rPr/>
              <w:t>Mayo and Atrium live; pilot pipeline reviewed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11</w:t>
            </w:r>
          </w:p>
        </w:tc>
        <w:tc>
          <w:tcPr>
            <w:tcW w:type="dxa" w:w="2160"/>
          </w:tcPr>
          <w:p>
            <w:r/>
            <w:r>
              <w:rPr/>
              <w:t>2025-01-21</w:t>
            </w:r>
          </w:p>
        </w:tc>
        <w:tc>
          <w:tcPr>
            <w:tcW w:type="dxa" w:w="2160"/>
          </w:tcPr>
          <w:p>
            <w:r/>
            <w:r>
              <w:rPr/>
              <w:t>FY25 operating plan</w:t>
            </w:r>
          </w:p>
        </w:tc>
        <w:tc>
          <w:tcPr>
            <w:tcW w:type="dxa" w:w="2160"/>
          </w:tcPr>
          <w:p>
            <w:r/>
            <w:r>
              <w:rPr/>
              <w:t>Budget approved; Series A timing discussion (initial)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12</w:t>
            </w:r>
          </w:p>
        </w:tc>
        <w:tc>
          <w:tcPr>
            <w:tcW w:type="dxa" w:w="2160"/>
          </w:tcPr>
          <w:p>
            <w:r/>
            <w:r>
              <w:rPr/>
              <w:t>2025-04-22</w:t>
            </w:r>
          </w:p>
        </w:tc>
        <w:tc>
          <w:tcPr>
            <w:tcW w:type="dxa" w:w="2160"/>
          </w:tcPr>
          <w:p>
            <w:r/>
            <w:r>
              <w:rPr/>
              <w:t>JACC publication; De Novo Q-Sub outcomes</w:t>
            </w:r>
          </w:p>
        </w:tc>
        <w:tc>
          <w:tcPr>
            <w:tcW w:type="dxa" w:w="2160"/>
          </w:tcPr>
          <w:p>
            <w:r/>
            <w:r>
              <w:rPr/>
              <w:t>Publication celebrated; De Novo strategy ratified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13</w:t>
            </w:r>
          </w:p>
        </w:tc>
        <w:tc>
          <w:tcPr>
            <w:tcW w:type="dxa" w:w="2160"/>
          </w:tcPr>
          <w:p>
            <w:r/>
            <w:r>
              <w:rPr/>
              <w:t>2025-07-22</w:t>
            </w:r>
          </w:p>
        </w:tc>
        <w:tc>
          <w:tcPr>
            <w:tcW w:type="dxa" w:w="2160"/>
          </w:tcPr>
          <w:p>
            <w:r/>
            <w:r>
              <w:rPr/>
              <w:t>Series A planning</w:t>
            </w:r>
          </w:p>
        </w:tc>
        <w:tc>
          <w:tcPr>
            <w:tcW w:type="dxa" w:w="2160"/>
          </w:tcPr>
          <w:p>
            <w:r/>
            <w:r>
              <w:rPr/>
              <w:t>Banker selection; lead-investor short list reviewed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14</w:t>
            </w:r>
          </w:p>
        </w:tc>
        <w:tc>
          <w:tcPr>
            <w:tcW w:type="dxa" w:w="2160"/>
          </w:tcPr>
          <w:p>
            <w:r/>
            <w:r>
              <w:rPr/>
              <w:t>2025-10-21</w:t>
            </w:r>
          </w:p>
        </w:tc>
        <w:tc>
          <w:tcPr>
            <w:tcW w:type="dxa" w:w="2160"/>
          </w:tcPr>
          <w:p>
            <w:r/>
            <w:r>
              <w:rPr/>
              <w:t>De Novo submission readiness</w:t>
            </w:r>
          </w:p>
        </w:tc>
        <w:tc>
          <w:tcPr>
            <w:tcW w:type="dxa" w:w="2160"/>
          </w:tcPr>
          <w:p>
            <w:r/>
            <w:r>
              <w:rPr/>
              <w:t>Submission timeline ratified; cardio-oncology indication strategy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15</w:t>
            </w:r>
          </w:p>
        </w:tc>
        <w:tc>
          <w:tcPr>
            <w:tcW w:type="dxa" w:w="2160"/>
          </w:tcPr>
          <w:p>
            <w:r/>
            <w:r>
              <w:rPr/>
              <w:t>2026-01-20</w:t>
            </w:r>
          </w:p>
        </w:tc>
        <w:tc>
          <w:tcPr>
            <w:tcW w:type="dxa" w:w="2160"/>
          </w:tcPr>
          <w:p>
            <w:r/>
            <w:r>
              <w:rPr/>
              <w:t>FY26 operating plan; Series A launch</w:t>
            </w:r>
          </w:p>
        </w:tc>
        <w:tc>
          <w:tcPr>
            <w:tcW w:type="dxa" w:w="2160"/>
          </w:tcPr>
          <w:p>
            <w:r/>
            <w:r>
              <w:rPr/>
              <w:t>Budget approved; Series A formally launched</w:t>
            </w:r>
          </w:p>
        </w:tc>
      </w:tr>
    </w:tbl>
    <w:p>
      <w:pPr>
        <w:pStyle w:val="Heading1"/>
      </w:pPr>
      <w:r/>
      <w:r>
        <w:rPr/>
        <w:t>Standing Agenda Items</w:t>
      </w:r>
    </w:p>
    <w:p>
      <w:r>
        <w:rPr/>
        <w:t>Every quarterly board meeting addresses, at minimum:</w:t>
      </w:r>
    </w:p>
    <w:p>
      <w:pPr>
        <w:pStyle w:val="ListBullet"/>
      </w:pPr>
      <w:r>
        <w:rPr>
          <w:b/>
        </w:rPr>
        <w:t>Financial update</w:t>
      </w:r>
      <w:r>
        <w:rPr/>
        <w:t xml:space="preserve"> — actuals vs. plan, cash position, runway, burn composition</w:t>
      </w:r>
    </w:p>
    <w:p>
      <w:pPr>
        <w:pStyle w:val="ListBullet"/>
      </w:pPr>
      <w:r>
        <w:rPr>
          <w:b/>
        </w:rPr>
        <w:t>KPI dashboard</w:t>
      </w:r>
      <w:r>
        <w:rPr/>
        <w:t xml:space="preserve"> — pilot sites live, pilot sites in pipeline, echos analyzed, cardiologist NPS, MRR</w:t>
      </w:r>
    </w:p>
    <w:p>
      <w:pPr>
        <w:pStyle w:val="ListBullet"/>
      </w:pPr>
      <w:r>
        <w:rPr>
          <w:b/>
        </w:rPr>
        <w:t>Function deep-dive</w:t>
      </w:r>
      <w:r>
        <w:rPr/>
        <w:t xml:space="preserve"> — rotates through engineering, clinical, regulatory, GTM (one per quarter)</w:t>
      </w:r>
    </w:p>
    <w:p>
      <w:pPr>
        <w:pStyle w:val="ListBullet"/>
      </w:pPr>
      <w:r>
        <w:rPr>
          <w:b/>
        </w:rPr>
        <w:t>Regulatory and quality update</w:t>
      </w:r>
      <w:r>
        <w:rPr/>
        <w:t xml:space="preserve"> — submissions, audits, complaints, MDR activity</w:t>
      </w:r>
    </w:p>
    <w:p>
      <w:pPr>
        <w:pStyle w:val="ListBullet"/>
      </w:pPr>
      <w:r>
        <w:rPr>
          <w:b/>
        </w:rPr>
        <w:t>Risk register</w:t>
      </w:r>
      <w:r>
        <w:rPr/>
        <w:t xml:space="preserve"> — top 5 enterprise risks; changes from prior quarter</w:t>
      </w:r>
    </w:p>
    <w:p>
      <w:pPr>
        <w:pStyle w:val="ListBullet"/>
      </w:pPr>
      <w:r>
        <w:rPr>
          <w:b/>
        </w:rPr>
        <w:t>Executive session</w:t>
      </w:r>
      <w:r>
        <w:rPr/>
        <w:t xml:space="preserve"> — without management</w:t>
      </w:r>
    </w:p>
    <w:p>
      <w:pPr>
        <w:pStyle w:val="Heading1"/>
      </w:pPr>
      <w:r/>
      <w:r>
        <w:rPr/>
        <w:t>Materials Construction</w:t>
      </w:r>
    </w:p>
    <w:p>
      <w:pPr>
        <w:pStyle w:val="ListBullet"/>
      </w:pPr>
      <w:r>
        <w:rPr/>
        <w:t>Decks are 30 – 50 slides, prepared by the founders with input from each function lead</w:t>
      </w:r>
    </w:p>
    <w:p>
      <w:pPr>
        <w:pStyle w:val="ListBullet"/>
      </w:pPr>
      <w:r>
        <w:rPr/>
        <w:t>Pre-reads distributed 5 business days in advance</w:t>
      </w:r>
    </w:p>
    <w:p>
      <w:pPr>
        <w:pStyle w:val="ListBullet"/>
      </w:pPr>
      <w:r>
        <w:rPr/>
        <w:t>Backup detail (financial schedules, KPI raw data) provided as appendices</w:t>
      </w:r>
    </w:p>
    <w:p>
      <w:pPr>
        <w:pStyle w:val="ListBullet"/>
      </w:pPr>
      <w:r>
        <w:rPr/>
        <w:t>Minutes prepared by Cooley LLP; ratified at the next meeting</w:t>
      </w:r>
    </w:p>
    <w:p>
      <w:pPr>
        <w:pStyle w:val="Heading1"/>
      </w:pPr>
      <w:r/>
      <w:r>
        <w:rPr/>
        <w:t>Access</w:t>
      </w:r>
    </w:p>
    <w:p>
      <w:r>
        <w:rPr/>
        <w:t>The full decks and minutes are released to Tier 3 investors under standard confidentiality and (where applicable) common-interest privilege agreements. Pre-term-sheet investors do not have access to board materials.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