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10 — Diligence Q&amp;A</w:t>
      </w:r>
    </w:p>
    <w:p>
      <w:pPr>
        <w:pStyle w:val="IntenseQuote"/>
      </w:pPr>
      <w:r>
        <w:rPr>
          <w:i/>
        </w:rPr>
        <w:t>Sample folder. Anticipated investor questions with answers, plus the diligence requests log.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frequently-asked-investor-questions.md</w:t>
      </w:r>
      <w:r>
        <w:rPr/>
        <w:t xml:space="preserve"> — anticipated investor questions covering clinical, regulatory, reimbursement, competitive, GTM, team, financial, and exit topics</w:t>
      </w:r>
    </w:p>
    <w:p>
      <w:pPr>
        <w:pStyle w:val="ListBullet"/>
      </w:pPr>
      <w:r>
        <w:rPr>
          <w:rFonts w:ascii="Consolas" w:hAnsi="Consolas"/>
          <w:sz w:val="20"/>
        </w:rPr>
        <w:t>data-requests-log.md</w:t>
      </w:r>
      <w:r>
        <w:rPr/>
        <w:t xml:space="preserve"> — sample log of investor data requests and HealthCo responses</w:t>
      </w:r>
    </w:p>
    <w:p>
      <w:pPr>
        <w:pStyle w:val="Heading1"/>
      </w:pPr>
      <w:r/>
      <w:r>
        <w:rPr/>
        <w:t>Tier mapping</w:t>
      </w:r>
    </w:p>
    <w:p>
      <w:r>
        <w:rPr/>
        <w:t>| Document | Tier 1 | Tier 2 | Tier 3 | |----------|:-:|:-:|:-:| | frequently-asked-investor-questions.md |   | x | x | | data-requests-log.md | (sponsor counsel only) | (sponsor counsel only) | (sponsor counsel only)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