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Frequently Asked Investor Questions</w:t>
      </w:r>
    </w:p>
    <w:p>
      <w:pPr>
        <w:pStyle w:val="IntenseQuote"/>
      </w:pPr>
      <w:r>
        <w:rPr>
          <w:i/>
        </w:rPr>
        <w:t>Sample document. Internally consistent with the rest of the data room — answers reference the same KOLs, pilot sites, regulatory numbers, and financial assumptions.</w:t>
      </w:r>
    </w:p>
    <w:p>
      <w:r>
        <w:rPr/>
        <w:t>This document anticipates the questions HealthCo most often receives during Series A diligence. It is updated continuously as new questions arise.</w:t>
      </w:r>
    </w:p>
    <w:p>
      <w:pPr>
        <w:pBdr>
          <w:bottom w:val="single" w:sz="6" w:space="1" w:color="808080"/>
        </w:pBdr>
      </w:pPr>
    </w:p>
    <w:p>
      <w:pPr>
        <w:pStyle w:val="Heading1"/>
      </w:pPr>
      <w:r/>
      <w:r>
        <w:rPr/>
        <w:t>Clinical Validation</w:t>
      </w:r>
    </w:p>
    <w:p>
      <w:r>
        <w:rPr>
          <w:b/>
        </w:rPr>
        <w:t>1. How was the JACC: CV Imaging 2025 validation cohort selected, and is it representative?</w:t>
      </w:r>
      <w:r>
        <w:rPr/>
        <w:t xml:space="preserve"> The cohort is consecutive adults undergoing transthoracic echocardiography for any indication at five academic centers. We deliberately did not enrich for amyloidosis-positive cases at intake. The 7.4% case-confirmed prevalence reflects both the natural rate at high-volume amyloidosis-aware sites and the selection of those sites for the study. Subgroup analyses (sex, age, vendor, EF, subtype) show robust performance. The JACC paper is the headline; full per-site breakouts are at Tier 2/3.</w:t>
      </w:r>
    </w:p>
    <w:p>
      <w:r>
        <w:rPr>
          <w:b/>
        </w:rPr>
        <w:t>2. The reference standard varies by site — does that introduce bias?</w:t>
      </w:r>
      <w:r>
        <w:rPr/>
        <w:t xml:space="preserve"> We performed a sensitivity analysis stratifying by reference modality (cardiac MRI, PYP, biopsy). AUROC was within 0.02 across all three, with overlapping confidence intervals. This is reported in the JACC paper supplement.</w:t>
      </w:r>
    </w:p>
    <w:p>
      <w:r>
        <w:rPr>
          <w:b/>
        </w:rPr>
        <w:t>3. How do you handle the preserved-EF (HFpEF) population, where amyloidosis is most missed?</w:t>
      </w:r>
      <w:r>
        <w:rPr/>
        <w:t xml:space="preserve"> Sensitivity in EF≥50% was 89.6%. This is the clinically critical subgroup — it's where amyloidosis is most underdiagnosed and where the disease-modifying therapy economics are most favorable.</w:t>
      </w:r>
    </w:p>
    <w:p>
      <w:r>
        <w:rPr>
          <w:b/>
        </w:rPr>
        <w:t>4. What about generalizability beyond academic centers?</w:t>
      </w:r>
      <w:r>
        <w:rPr/>
        <w:t xml:space="preserve"> The 2024-onwards pilots at Atrium, Banner, Intermountain, and Henry Ford are explicitly designed to test community / regional-IDN generalizability. Real-world sensitivity in the pilot deployment period is ~89%, consistent with the validation.</w:t>
      </w:r>
    </w:p>
    <w:p>
      <w:r>
        <w:rPr>
          <w:b/>
        </w:rPr>
        <w:t>5. What's the false-positive workflow burden on cardiologists?</w:t>
      </w:r>
      <w:r>
        <w:rPr/>
        <w:t xml:space="preserve"> The PPV at study prevalence is 38.4% — meaning of all studies flagged, ~38% are confirmed positive. Cardiologists at pilot sites report an average of 7.8 minutes spent reviewing flagged studies. Site NPS is +58.</w:t>
      </w:r>
    </w:p>
    <w:p>
      <w:pPr>
        <w:pBdr>
          <w:bottom w:val="single" w:sz="6" w:space="1" w:color="808080"/>
        </w:pBdr>
      </w:pPr>
    </w:p>
    <w:p>
      <w:pPr>
        <w:pStyle w:val="Heading1"/>
      </w:pPr>
      <w:r/>
      <w:r>
        <w:rPr/>
        <w:t>FDA / Regulatory</w:t>
      </w:r>
    </w:p>
    <w:p>
      <w:r>
        <w:rPr>
          <w:b/>
        </w:rPr>
        <w:t>6. What does the K243178 clearance specifically allow you to do?</w:t>
      </w:r>
      <w:r>
        <w:rPr/>
        <w:t xml:space="preserve"> Adjunctive analysis of TTE studies for adult patients to detect imaging features consistent with cardiac amyloidosis. Output is a probability score with feature attribution. We are explicitly cleared as adjunctive — not autonomous diagnosis. Indications for use are reproduced verbatim in </w:t>
      </w:r>
      <w:r>
        <w:rPr>
          <w:rFonts w:ascii="Consolas" w:hAnsi="Consolas"/>
          <w:sz w:val="20"/>
        </w:rPr>
        <w:t>03-Regulatory/510k-summary.md</w:t>
      </w:r>
      <w:r>
        <w:rPr/>
        <w:t>.</w:t>
      </w:r>
    </w:p>
    <w:p>
      <w:r>
        <w:rPr>
          <w:b/>
        </w:rPr>
        <w:t>7. Why De Novo for auto-strain rather than 510(k)?</w:t>
      </w:r>
      <w:r>
        <w:rPr/>
        <w:t xml:space="preserve"> There is no suitable single predicate for fully automatic strain measurement (without operator-defined ROI). FDA confirmed De Novo as the appropriate pathway in our January 2024 Q-Sub. Submission accepted Q1 2026; expected decision late FY26.</w:t>
      </w:r>
    </w:p>
    <w:p>
      <w:r>
        <w:rPr>
          <w:b/>
        </w:rPr>
        <w:t>8. What's the PCCP scope, and does it cover model retraining?</w:t>
      </w:r>
      <w:r>
        <w:rPr/>
        <w:t xml:space="preserve"> The PCCP covers (a) data refresh within prespecified composition bounds, (b) vendor-calibration table updates, and (c) confidence-threshold tuning within validated ranges. It does </w:t>
      </w:r>
      <w:r>
        <w:rPr>
          <w:b/>
        </w:rPr>
        <w:t>not</w:t>
      </w:r>
      <w:r>
        <w:rPr/>
        <w:t xml:space="preserve"> cover architectural changes or indication changes. This is a deliberate posture: PCCPs that overreach get pushback from FDA reviewers.</w:t>
      </w:r>
    </w:p>
    <w:p>
      <w:r>
        <w:rPr>
          <w:b/>
        </w:rPr>
        <w:t>9. What's the regulatory plan for cardio-oncology?</w:t>
      </w:r>
      <w:r>
        <w:rPr/>
        <w:t xml:space="preserve"> New 510(k) targeting Q4 FY27. We met with FDA in October 2025 (Q251014) and they confirmed pathway and recommended a hybrid retrospective-prospective validation. Study design is finalized.</w:t>
      </w:r>
    </w:p>
    <w:p>
      <w:r>
        <w:rPr>
          <w:b/>
        </w:rPr>
        <w:t>10. Have there been any MDRs or field events?</w:t>
      </w:r>
      <w:r>
        <w:rPr/>
        <w:t xml:space="preserve"> One voluntary MDR follow-up in September 2024 — no patient harm, no required action. Detailed in </w:t>
      </w:r>
      <w:r>
        <w:rPr>
          <w:rFonts w:ascii="Consolas" w:hAnsi="Consolas"/>
          <w:sz w:val="20"/>
        </w:rPr>
        <w:t>03-Regulatory/pre-submission-meetings.md</w:t>
      </w:r>
      <w:r>
        <w:rPr/>
        <w:t>.</w:t>
      </w:r>
    </w:p>
    <w:p>
      <w:pPr>
        <w:pBdr>
          <w:bottom w:val="single" w:sz="6" w:space="1" w:color="808080"/>
        </w:pBdr>
      </w:pPr>
    </w:p>
    <w:p>
      <w:pPr>
        <w:pStyle w:val="Heading1"/>
      </w:pPr>
      <w:r/>
      <w:r>
        <w:rPr/>
        <w:t>Reimbursement</w:t>
      </w:r>
    </w:p>
    <w:p>
      <w:r>
        <w:rPr>
          <w:b/>
        </w:rPr>
        <w:t>11. What's the realistic timeline to dedicated CPT?</w:t>
      </w:r>
      <w:r>
        <w:rPr/>
        <w:t xml:space="preserve"> Targeting 2027 CPT cycle with a Category I application; realistic reimbursement-into-effect is 2028. The bear case is one cycle slip (2029). The model accommodates both.</w:t>
      </w:r>
    </w:p>
    <w:p>
      <w:r>
        <w:rPr>
          <w:b/>
        </w:rPr>
        <w:t>12. Today, how do pilot sites pay you?</w:t>
      </w:r>
      <w:r>
        <w:rPr/>
        <w:t xml:space="preserve"> Per-study analysis fee under the MSA, ranging $20-30 per study. This is direct customer payment, not third-party billing.</w:t>
      </w:r>
    </w:p>
    <w:p>
      <w:r>
        <w:rPr>
          <w:b/>
        </w:rPr>
        <w:t>13. Will payers cover this when CPT 0623T (Category III) is the active code?</w:t>
      </w:r>
      <w:r>
        <w:rPr/>
        <w:t xml:space="preserve"> Coverage is patchy and case-by-case. Major MACs have published constructive guidance. Our model assumes MSA-fee-dominant economics through FY27, transitioning to mixed and reimbursed economics from FY28.</w:t>
      </w:r>
    </w:p>
    <w:p>
      <w:r>
        <w:rPr>
          <w:b/>
        </w:rPr>
        <w:t>14. What if Medicare issues a non-coverage determination?</w:t>
      </w:r>
      <w:r>
        <w:rPr/>
        <w:t xml:space="preserve"> A formal non-coverage NCD would be a setback but not fatal — pilot-site MSA fees would continue. Our financial model bear case effectively assumes no national positive coverage through the planning horizon.</w:t>
      </w:r>
    </w:p>
    <w:p>
      <w:pPr>
        <w:pBdr>
          <w:bottom w:val="single" w:sz="6" w:space="1" w:color="808080"/>
        </w:pBdr>
      </w:pPr>
    </w:p>
    <w:p>
      <w:pPr>
        <w:pStyle w:val="Heading1"/>
      </w:pPr>
      <w:r/>
      <w:r>
        <w:rPr/>
        <w:t>Competitive</w:t>
      </w:r>
    </w:p>
    <w:p>
      <w:r>
        <w:rPr>
          <w:b/>
        </w:rPr>
        <w:t>15. How is HealthCo defensible against Ultromics?</w:t>
      </w:r>
      <w:r>
        <w:rPr/>
        <w:t xml:space="preserve"> Ultromics is the predicate (broad structural-heart focus) but does not have an amyloidosis-specific clearance or the depth of amyloidosis evidence we have. Our IP perimeter (</w:t>
      </w:r>
      <w:r>
        <w:rPr>
          <w:rFonts w:ascii="Consolas" w:hAnsi="Consolas"/>
          <w:sz w:val="20"/>
        </w:rPr>
        <w:t>02-IP/</w:t>
      </w:r>
      <w:r>
        <w:rPr/>
        <w:t>) and KOL ties (Falk, Maurer, Sperry) are durable advantages. If Ultromics adds an amyloidosis indication, we still hold the lead-time and evidence-base advantage.</w:t>
      </w:r>
    </w:p>
    <w:p>
      <w:r>
        <w:rPr>
          <w:b/>
        </w:rPr>
        <w:t>16. What about GE / Caption Health embedding native AI features?</w:t>
      </w:r>
      <w:r>
        <w:rPr/>
        <w:t xml:space="preserve"> Vendor-specific approaches struggle in the heterogeneous fleets at large IDNs. Our multi-vendor neutrality is a structural advantage. We also operate at the PACS / EHR layer rather than the machine layer.</w:t>
      </w:r>
    </w:p>
    <w:p>
      <w:r>
        <w:rPr>
          <w:b/>
        </w:rPr>
        <w:t>17. Is there acquisition risk from a Big Cardiology player (Edwards, Abbott, Medtronic)?</w:t>
      </w:r>
      <w:r>
        <w:rPr/>
        <w:t xml:space="preserve"> Strategic interest is real and a tailwind, not a risk. Our counsel and operating advisors include M&amp;A perspectives on optionality.</w:t>
      </w:r>
    </w:p>
    <w:p>
      <w:pPr>
        <w:pBdr>
          <w:bottom w:val="single" w:sz="6" w:space="1" w:color="808080"/>
        </w:pBdr>
      </w:pPr>
    </w:p>
    <w:p>
      <w:pPr>
        <w:pStyle w:val="Heading1"/>
      </w:pPr>
      <w:r/>
      <w:r>
        <w:rPr/>
        <w:t>GTM and Commercial</w:t>
      </w:r>
    </w:p>
    <w:p>
      <w:r>
        <w:rPr>
          <w:b/>
        </w:rPr>
        <w:t>18. What's your enterprise sales motion?</w:t>
      </w:r>
      <w:r>
        <w:rPr/>
        <w:t xml:space="preserve"> Direct enterprise sales to large IDNs and academic centers. Coverage today: 3 reps. Series A funds bring this to 7. Average pilot-to-enterprise conversion cycle: 9 – 14 months. Lead PI relationships drive entry; cardiology service-line leadership and CMO drive close.</w:t>
      </w:r>
    </w:p>
    <w:p>
      <w:r>
        <w:rPr>
          <w:b/>
        </w:rPr>
        <w:t>19. Why are you focused on the 50-IDN beachhead?</w:t>
      </w:r>
      <w:r>
        <w:rPr/>
        <w:t xml:space="preserve"> Concentration of amyloidosis-aware cardiology programs, friendly procurement relative to community settings, and high echo volumes per site. Beachhead penetration is the path to ARR scale in the near term; community and rural will follow once dedicated CPT is in place.</w:t>
      </w:r>
    </w:p>
    <w:p>
      <w:r>
        <w:rPr>
          <w:b/>
        </w:rPr>
        <w:t>20. How are you converting pilots to enterprise?</w:t>
      </w:r>
      <w:r>
        <w:rPr/>
        <w:t xml:space="preserve"> 4 of 7 pilot sites are in active conversion negotiations as of March 2026. The conversion playbook (developed by Sarah Whittaker, ex-HeartFlow) emphasizes ROI quantification (time-to-diagnosis, downstream therapy capture), KOL endorsement, and a tiered enterprise pricing structure.</w:t>
      </w:r>
    </w:p>
    <w:p>
      <w:pPr>
        <w:pBdr>
          <w:bottom w:val="single" w:sz="6" w:space="1" w:color="808080"/>
        </w:pBdr>
      </w:pPr>
    </w:p>
    <w:p>
      <w:pPr>
        <w:pStyle w:val="Heading1"/>
      </w:pPr>
      <w:r/>
      <w:r>
        <w:rPr/>
        <w:t>Team</w:t>
      </w:r>
    </w:p>
    <w:p>
      <w:r>
        <w:rPr>
          <w:b/>
        </w:rPr>
        <w:t>21. The team is small. What are the gaps?</w:t>
      </w:r>
      <w:r>
        <w:rPr/>
        <w:t xml:space="preserve"> Top gaps post-Series-A: (a) VP Sales (planning to fill late FY26 or early FY27 contingent on conversion velocity), (b) senior reimbursement / health-economics hire (priority Series A hire), (c) independent director with public-company experience.</w:t>
      </w:r>
    </w:p>
    <w:p>
      <w:r>
        <w:rPr>
          <w:b/>
        </w:rPr>
        <w:t>22. What's founder retention risk?</w:t>
      </w:r>
      <w:r>
        <w:rPr/>
        <w:t xml:space="preserve"> Founders are ~80% vested as of Series A. Series A typically refreshes founder grants on a forward-looking basis; the term sheet anticipates this. All three founders are aligned and engaged; reference checks at Tier 3 will confirm.</w:t>
      </w:r>
    </w:p>
    <w:p>
      <w:r>
        <w:rPr>
          <w:b/>
        </w:rPr>
        <w:t>23. How do you compete for ML talent against Big Tech?</w:t>
      </w:r>
      <w:r>
        <w:rPr/>
        <w:t xml:space="preserve"> Mission, equity, and the rarity of getting to ship FDA-cleared software in cardiac AI. We also explicitly target ML researchers who want to work with regulated-AI lifecycle and clinical context rather than pure-research roles.</w:t>
      </w:r>
    </w:p>
    <w:p>
      <w:pPr>
        <w:pBdr>
          <w:bottom w:val="single" w:sz="6" w:space="1" w:color="808080"/>
        </w:pBdr>
      </w:pPr>
    </w:p>
    <w:p>
      <w:pPr>
        <w:pStyle w:val="Heading1"/>
      </w:pPr>
      <w:r/>
      <w:r>
        <w:rPr/>
        <w:t>Financial</w:t>
      </w:r>
    </w:p>
    <w:p>
      <w:r>
        <w:rPr>
          <w:b/>
        </w:rPr>
        <w:t>24. What's the path to gross margin scale?</w:t>
      </w:r>
      <w:r>
        <w:rPr/>
        <w:t xml:space="preserve"> Steady-state gross margin model is ~75%, with cloud cost the dominant variable. As volumes grow, marginal compute costs per study fall and gross margin expands. Current GM (~49% in FY24 actuals) is artificially compressed by per-pilot implementation overhead.</w:t>
      </w:r>
    </w:p>
    <w:p>
      <w:r>
        <w:rPr>
          <w:b/>
        </w:rPr>
        <w:t>25. What's the LTV/CAC?</w:t>
      </w:r>
      <w:r>
        <w:rPr/>
        <w:t xml:space="preserve"> Too early to report stable cohort numbers. Indicative: pilot ACV $80-210K with 14-month conversion cycle; enterprise ACV $400-800K post-conversion. Sales loaded cost per rep ~$450K. Payback period modeled at 18-24 months on enterprise contracts.</w:t>
      </w:r>
    </w:p>
    <w:p>
      <w:r>
        <w:rPr>
          <w:b/>
        </w:rPr>
        <w:t>26. Why $50M pre-money?</w:t>
      </w:r>
      <w:r>
        <w:rPr/>
        <w:t xml:space="preserve"> Reflects (a) FDA clearance with peer-reviewed validation, (b) seven enterprise pilot relationships with conversion in flight, (c) De Novo in flight for the second indication, and (d) IP perimeter. The valuation triangulates against recent comparable cardiac-AI rounds (Cleerly, Ultromics, Caption pre-acquisition).</w:t>
      </w:r>
    </w:p>
    <w:p>
      <w:r>
        <w:rPr>
          <w:b/>
        </w:rPr>
        <w:t>27. What's the Series B narrative?</w:t>
      </w:r>
      <w:r>
        <w:rPr/>
        <w:t xml:space="preserve"> $10-15M ARR, 4-5 enterprise customers fully converted, auto-strain commercial post-De Novo, cardio-oncology indication submitted. Targeted late FY27 / early FY28 at $35-45M raise.</w:t>
      </w:r>
    </w:p>
    <w:p>
      <w:pPr>
        <w:pBdr>
          <w:bottom w:val="single" w:sz="6" w:space="1" w:color="808080"/>
        </w:pBdr>
      </w:pPr>
    </w:p>
    <w:p>
      <w:pPr>
        <w:pStyle w:val="Heading1"/>
      </w:pPr>
      <w:r/>
      <w:r>
        <w:rPr/>
        <w:t>Risk and Exit</w:t>
      </w:r>
    </w:p>
    <w:p>
      <w:r>
        <w:rPr>
          <w:b/>
        </w:rPr>
        <w:t>28. What keeps you up at night?</w:t>
      </w:r>
      <w:r>
        <w:rPr/>
        <w:t xml:space="preserve"> Speed of conversion from pilot to enterprise (timing risk, not viability risk); a CMS coverage setback; OEM-native feature acceleration. We have mitigants for each in the relevant section of the data room.</w:t>
      </w:r>
    </w:p>
    <w:p>
      <w:r>
        <w:rPr>
          <w:b/>
        </w:rPr>
        <w:t>29. What are the plausible exit paths?</w:t>
      </w:r>
      <w:r>
        <w:rPr/>
        <w:t xml:space="preserve"> Strategic acquisition by a cardiology-focused medical-device or imaging player (Edwards, Abbott, Philips, GE, Siemens), by a pharma manufacturer with an amyloidosis franchise (Pfizer, BridgeBio/Eidos), or by a health-AI platform consolidator. IPO is plausible but secondary in our planning horizon — we model strategic optionality first.</w:t>
      </w:r>
    </w:p>
    <w:p>
      <w:r>
        <w:rPr>
          <w:b/>
        </w:rPr>
        <w:t>30. What's the timeline to exit?</w:t>
      </w:r>
      <w:r>
        <w:rPr/>
        <w:t xml:space="preserve"> We're not modeling an exit timeline; we're modeling a Series B path. A reasonable expectation for a clean strategic exit is 4-6 years post Series A, contingent on commercial scale, indication breadth, and macro conditions.</w:t>
      </w:r>
    </w:p>
    <w:p>
      <w:r>
        <w:rPr>
          <w:b/>
        </w:rPr>
        <w:t>31. Concentration risk on amyloidosis as a single disease area?</w:t>
      </w:r>
      <w:r>
        <w:rPr/>
        <w:t xml:space="preserve"> Real but mitigated by the indication roadmap (cardio-oncology FY27, HCM FY27, pediatric and stress FY28). The platform is purpose-built to scale across echo-derived disease detection.</w:t>
      </w:r>
    </w:p>
    <w:p>
      <w:r>
        <w:rPr>
          <w:b/>
        </w:rPr>
        <w:t>32. What would cause you to fail?</w:t>
      </w:r>
      <w:r>
        <w:rPr/>
        <w:t xml:space="preserve"> A cluster of (a) De Novo non-clearance, (b) MAC negative coverage, and (c) accelerated competitive parity from an OEM. None of these are individually likely; the joint probability is low. We track each in the risk register.</w:t>
      </w:r>
    </w:p>
    <w:p>
      <w:pPr>
        <w:pBdr>
          <w:bottom w:val="single" w:sz="6" w:space="1" w:color="808080"/>
        </w:pBdr>
      </w:pPr>
    </w:p>
    <w:p>
      <w:pPr>
        <w:pStyle w:val="Heading1"/>
      </w:pPr>
      <w:r/>
      <w:r>
        <w:rPr/>
        <w:t>Term Sheet</w:t>
      </w:r>
    </w:p>
    <w:p>
      <w:r>
        <w:rPr>
          <w:b/>
        </w:rPr>
        <w:t>33. Are you running a process?</w:t>
      </w:r>
      <w:r>
        <w:rPr/>
        <w:t xml:space="preserve"> Yes. Banked process via [bank]; lead-investor short list under management. Term-sheet decision date target: late April 2026.</w:t>
      </w:r>
    </w:p>
    <w:p>
      <w:r>
        <w:rPr>
          <w:b/>
        </w:rPr>
        <w:t>34. What lead investor do you want?</w:t>
      </w:r>
      <w:r>
        <w:rPr/>
        <w:t xml:space="preserve"> A healthcare-domain Series A lead with prior cleared-software portfolio experience and a clear value-add on enterprise GTM. Brand alignment with the JACC publication and KOL community is meaningful.</w:t>
      </w:r>
    </w:p>
    <w:p>
      <w:r>
        <w:rPr>
          <w:b/>
        </w:rPr>
        <w:t>35. Pro-rata for seed investors?</w:t>
      </w:r>
      <w:r>
        <w:rPr/>
        <w:t xml:space="preserve"> Yes; pro-rata respected through Series B for major holders.</w:t>
      </w:r>
    </w:p>
    <w:p>
      <w:pPr>
        <w:pBdr>
          <w:bottom w:val="single" w:sz="6" w:space="1" w:color="808080"/>
        </w:pBdr>
      </w:pPr>
    </w:p>
    <w:p>
      <w:r>
        <w:rPr/>
        <w:t xml:space="preserve">This list will be refreshed weekly through the active diligence period. Investor-specific questions are tracked in </w:t>
      </w:r>
      <w:r>
        <w:rPr>
          <w:rFonts w:ascii="Consolas" w:hAnsi="Consolas"/>
          <w:sz w:val="20"/>
        </w:rPr>
        <w:t>data-requests-log.md</w:t>
      </w:r>
      <w:r>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