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HealthCo Data Room</w:t>
      </w:r>
    </w:p>
    <w:p>
      <w:pPr>
        <w:pStyle w:val="IntenseQuote"/>
      </w:pPr>
      <w:r>
        <w:rPr>
          <w:b/>
          <w:i/>
        </w:rPr>
        <w:t>Sample work product.</w:t>
      </w:r>
      <w:r>
        <w:rPr>
          <w:i/>
        </w:rPr>
        <w:t xml:space="preserve"> This data room is a non-operational sample created for the advisory practice's website. All names, numbers, and documents are illustrative. No PHI or real confidential information is contained herein.</w:t>
      </w:r>
    </w:p>
    <w:p>
      <w:pPr>
        <w:pStyle w:val="Heading1"/>
      </w:pPr>
      <w:r/>
      <w:r>
        <w:rPr/>
        <w:t>Company Snapshot</w:t>
      </w:r>
    </w:p>
    <w:p>
      <w:pPr>
        <w:pStyle w:val="ListBullet"/>
      </w:pPr>
      <w:r>
        <w:rPr>
          <w:b/>
        </w:rPr>
        <w:t>Company:</w:t>
      </w:r>
      <w:r>
        <w:rPr/>
        <w:t xml:space="preserve"> HealthCo, Inc. (Delaware C-Corp, founded 2021, HQ Boston MA)</w:t>
      </w:r>
    </w:p>
    <w:p>
      <w:pPr>
        <w:pStyle w:val="ListBullet"/>
      </w:pPr>
      <w:r>
        <w:rPr>
          <w:b/>
        </w:rPr>
        <w:t>Product:</w:t>
      </w:r>
      <w:r>
        <w:rPr/>
        <w:t xml:space="preserve"> EchoPilot — AI software-as-a-medical-device (SaMD) for cardiac amyloidosis detection from transthoracic echocardiograms</w:t>
      </w:r>
    </w:p>
    <w:p>
      <w:pPr>
        <w:pStyle w:val="ListBullet"/>
      </w:pPr>
      <w:r>
        <w:rPr>
          <w:b/>
        </w:rPr>
        <w:t>Regulatory:</w:t>
      </w:r>
      <w:r>
        <w:rPr/>
        <w:t xml:space="preserve"> 510(k) cleared 2024 (predicate: Ultromics EchoGo Pro); De Novo in progress for automated longitudinal strain measurement</w:t>
      </w:r>
    </w:p>
    <w:p>
      <w:pPr>
        <w:pStyle w:val="ListBullet"/>
      </w:pPr>
      <w:r>
        <w:rPr>
          <w:b/>
        </w:rPr>
        <w:t>Stage:</w:t>
      </w:r>
      <w:r>
        <w:rPr/>
        <w:t xml:space="preserve"> Series A — raising $15M at $50M pre-money</w:t>
      </w:r>
    </w:p>
    <w:p>
      <w:pPr>
        <w:pStyle w:val="ListBullet"/>
      </w:pPr>
      <w:r>
        <w:rPr>
          <w:b/>
        </w:rPr>
        <w:t>Headcount:</w:t>
      </w:r>
      <w:r>
        <w:rPr/>
        <w:t xml:space="preserve"> ~22 FTE</w:t>
      </w:r>
    </w:p>
    <w:p>
      <w:pPr>
        <w:pStyle w:val="ListBullet"/>
      </w:pPr>
      <w:r>
        <w:rPr>
          <w:b/>
        </w:rPr>
        <w:t>Traction:</w:t>
      </w:r>
      <w:r>
        <w:rPr/>
        <w:t xml:space="preserve"> 7 health-system pilots, 18,000 echos analyzed YTD, JACC: CV Imaging publication 2025</w:t>
      </w:r>
    </w:p>
    <w:p>
      <w:pPr>
        <w:pStyle w:val="Heading1"/>
      </w:pPr>
      <w:r/>
      <w:r>
        <w:rPr/>
        <w:t>Tier-Access Model</w:t>
      </w:r>
    </w:p>
    <w:p>
      <w:r>
        <w:rPr/>
        <w:t>This room is structured for staged disclosure. Investors progress through three tiers based on engagement depth.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Tier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Trigger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Contents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Tier 1 — NDA</w:t>
            </w:r>
          </w:p>
        </w:tc>
        <w:tc>
          <w:tcPr>
            <w:tcW w:type="dxa" w:w="2880"/>
          </w:tcPr>
          <w:p>
            <w:r/>
            <w:r>
              <w:rPr/>
              <w:t>Mutual NDA executed</w:t>
            </w:r>
          </w:p>
        </w:tc>
        <w:tc>
          <w:tcPr>
            <w:tcW w:type="dxa" w:w="2880"/>
          </w:tcPr>
          <w:p>
            <w:r/>
            <w:r>
              <w:rPr/>
              <w:t>Corporate basics, market overview, team bios, regulatory headlines, redacted clinical highlights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Tier 2 — CDA (post first meeting)</w:t>
            </w:r>
          </w:p>
        </w:tc>
        <w:tc>
          <w:tcPr>
            <w:tcW w:type="dxa" w:w="2880"/>
          </w:tcPr>
          <w:p>
            <w:r/>
            <w:r>
              <w:rPr/>
              <w:t>Confidentiality agreement + sponsor partner endorsement</w:t>
            </w:r>
          </w:p>
        </w:tc>
        <w:tc>
          <w:tcPr>
            <w:tcW w:type="dxa" w:w="2880"/>
          </w:tcPr>
          <w:p>
            <w:r/>
            <w:r>
              <w:rPr/>
              <w:t>Full financial model, cap table, complete clinical validation dataset, IP portfolio summary, pilot deployment results, reimbursement strategy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Tier 3 — Diligence Room (post term sheet)</w:t>
            </w:r>
          </w:p>
        </w:tc>
        <w:tc>
          <w:tcPr>
            <w:tcW w:type="dxa" w:w="2880"/>
          </w:tcPr>
          <w:p>
            <w:r/>
            <w:r>
              <w:rPr/>
              <w:t>Signed term sheet with exclusivity</w:t>
            </w:r>
          </w:p>
        </w:tc>
        <w:tc>
          <w:tcPr>
            <w:tcW w:type="dxa" w:w="2880"/>
          </w:tcPr>
          <w:p>
            <w:r/>
            <w:r>
              <w:rPr/>
              <w:t>Trade secrets inventory, full FDA correspondence, source-code architecture details, executed pilot MSAs, board minutes, FTO opinion full text</w:t>
            </w:r>
          </w:p>
        </w:tc>
      </w:tr>
    </w:tbl>
    <w:p>
      <w:r>
        <w:rPr/>
        <w:t>Access is provisioned by HealthCo Counsel (Cooley LLP) via Datasite. Watermarking and download controls apply at all tiers.</w:t>
      </w:r>
    </w:p>
    <w:p>
      <w:pPr>
        <w:pStyle w:val="Heading1"/>
      </w:pPr>
      <w:r/>
      <w:r>
        <w:rPr/>
        <w:t>Master Index</w:t>
      </w:r>
    </w:p>
    <w:p>
      <w:pPr>
        <w:pStyle w:val="Heading2"/>
      </w:pPr>
      <w:r/>
      <w:r>
        <w:rPr/>
        <w:t>01-Corporate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Tier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formation-summary.md</w:t>
            </w:r>
          </w:p>
        </w:tc>
        <w:tc>
          <w:tcPr>
            <w:tcW w:type="dxa" w:w="4320"/>
          </w:tcPr>
          <w:p>
            <w:r/>
            <w:r>
              <w:rPr/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current-cap-table.md</w:t>
            </w:r>
          </w:p>
        </w:tc>
        <w:tc>
          <w:tcPr>
            <w:tcW w:type="dxa" w:w="4320"/>
          </w:tcPr>
          <w:p>
            <w:r/>
            <w:r>
              <w:rPr/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material-agreements-index.md</w:t>
            </w:r>
          </w:p>
        </w:tc>
        <w:tc>
          <w:tcPr>
            <w:tcW w:type="dxa" w:w="4320"/>
          </w:tcPr>
          <w:p>
            <w:r/>
            <w:r>
              <w:rPr/>
              <w:t>2 (index) / 3 (executed copies)</w:t>
            </w:r>
          </w:p>
        </w:tc>
      </w:tr>
    </w:tbl>
    <w:p>
      <w:pPr>
        <w:pStyle w:val="Heading2"/>
      </w:pPr>
      <w:r/>
      <w:r>
        <w:rPr/>
        <w:t>02-IP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Tier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patent-portfolio-summary.md</w:t>
            </w:r>
          </w:p>
        </w:tc>
        <w:tc>
          <w:tcPr>
            <w:tcW w:type="dxa" w:w="4320"/>
          </w:tcPr>
          <w:p>
            <w:r/>
            <w:r>
              <w:rPr/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fto-opinion-summary.md</w:t>
            </w:r>
          </w:p>
        </w:tc>
        <w:tc>
          <w:tcPr>
            <w:tcW w:type="dxa" w:w="4320"/>
          </w:tcPr>
          <w:p>
            <w:r/>
            <w:r>
              <w:rPr/>
              <w:t>2 (summary) / 3 (full opinion)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trade-secrets-inventory.md</w:t>
            </w:r>
          </w:p>
        </w:tc>
        <w:tc>
          <w:tcPr>
            <w:tcW w:type="dxa" w:w="4320"/>
          </w:tcPr>
          <w:p>
            <w:r/>
            <w:r>
              <w:rPr/>
              <w:t>3</w:t>
            </w:r>
          </w:p>
        </w:tc>
      </w:tr>
    </w:tbl>
    <w:p>
      <w:pPr>
        <w:pStyle w:val="Heading2"/>
      </w:pPr>
      <w:r/>
      <w:r>
        <w:rPr/>
        <w:t>03-Regulatory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Tier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510k-summary.md</w:t>
            </w:r>
          </w:p>
        </w:tc>
        <w:tc>
          <w:tcPr>
            <w:tcW w:type="dxa" w:w="4320"/>
          </w:tcPr>
          <w:p>
            <w:r/>
            <w:r>
              <w:rPr/>
              <w:t>1 (headline) / 2 (full)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pre-submission-meetings.md</w:t>
            </w:r>
          </w:p>
        </w:tc>
        <w:tc>
          <w:tcPr>
            <w:tcW w:type="dxa" w:w="4320"/>
          </w:tcPr>
          <w:p>
            <w:r/>
            <w:r>
              <w:rPr/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regulatory-pathway-roadmap.md</w:t>
            </w:r>
          </w:p>
        </w:tc>
        <w:tc>
          <w:tcPr>
            <w:tcW w:type="dxa" w:w="4320"/>
          </w:tcPr>
          <w:p>
            <w:r/>
            <w:r>
              <w:rPr/>
              <w:t>2</w:t>
            </w:r>
          </w:p>
        </w:tc>
      </w:tr>
    </w:tbl>
    <w:p>
      <w:pPr>
        <w:pStyle w:val="Heading2"/>
      </w:pPr>
      <w:r/>
      <w:r>
        <w:rPr/>
        <w:t>04-Preclinical-Clinical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Tier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clinical-validation-study.md</w:t>
            </w:r>
          </w:p>
        </w:tc>
        <w:tc>
          <w:tcPr>
            <w:tcW w:type="dxa" w:w="4320"/>
          </w:tcPr>
          <w:p>
            <w:r/>
            <w:r>
              <w:rPr/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pilot-deployment-results.md</w:t>
            </w:r>
          </w:p>
        </w:tc>
        <w:tc>
          <w:tcPr>
            <w:tcW w:type="dxa" w:w="4320"/>
          </w:tcPr>
          <w:p>
            <w:r/>
            <w:r>
              <w:rPr/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kol-advisory-board.md</w:t>
            </w:r>
          </w:p>
        </w:tc>
        <w:tc>
          <w:tcPr>
            <w:tcW w:type="dxa" w:w="4320"/>
          </w:tcPr>
          <w:p>
            <w:r/>
            <w:r>
              <w:rPr/>
              <w:t>1</w:t>
            </w:r>
          </w:p>
        </w:tc>
      </w:tr>
    </w:tbl>
    <w:p>
      <w:pPr>
        <w:pStyle w:val="Heading2"/>
      </w:pPr>
      <w:r/>
      <w:r>
        <w:rPr/>
        <w:t>05-CMC-Manufacturing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Tier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software-development-process.md</w:t>
            </w:r>
          </w:p>
        </w:tc>
        <w:tc>
          <w:tcPr>
            <w:tcW w:type="dxa" w:w="4320"/>
          </w:tcPr>
          <w:p>
            <w:r/>
            <w:r>
              <w:rPr/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cloud-infrastructure.md</w:t>
            </w:r>
          </w:p>
        </w:tc>
        <w:tc>
          <w:tcPr>
            <w:tcW w:type="dxa" w:w="4320"/>
          </w:tcPr>
          <w:p>
            <w:r/>
            <w:r>
              <w:rPr/>
              <w:t>2 (summary) / 3 (architecture detail)</w:t>
            </w:r>
          </w:p>
        </w:tc>
      </w:tr>
    </w:tbl>
    <w:p>
      <w:pPr>
        <w:pStyle w:val="Heading2"/>
      </w:pPr>
      <w:r/>
      <w:r>
        <w:rPr/>
        <w:t>06-Market-Competitive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Tier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market-sizing-tam-sam-som.md</w:t>
            </w:r>
          </w:p>
        </w:tc>
        <w:tc>
          <w:tcPr>
            <w:tcW w:type="dxa" w:w="4320"/>
          </w:tcPr>
          <w:p>
            <w:r/>
            <w:r>
              <w:rPr/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competitive-landscape.md</w:t>
            </w:r>
          </w:p>
        </w:tc>
        <w:tc>
          <w:tcPr>
            <w:tcW w:type="dxa" w:w="4320"/>
          </w:tcPr>
          <w:p>
            <w:r/>
            <w:r>
              <w:rPr/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reimbursement-strategy.md</w:t>
            </w:r>
          </w:p>
        </w:tc>
        <w:tc>
          <w:tcPr>
            <w:tcW w:type="dxa" w:w="4320"/>
          </w:tcPr>
          <w:p>
            <w:r/>
            <w:r>
              <w:rPr/>
              <w:t>2</w:t>
            </w:r>
          </w:p>
        </w:tc>
      </w:tr>
    </w:tbl>
    <w:p>
      <w:pPr>
        <w:pStyle w:val="Heading2"/>
      </w:pPr>
      <w:r/>
      <w:r>
        <w:rPr/>
        <w:t>07-Financials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Tier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historical-actuals-summary.md</w:t>
            </w:r>
          </w:p>
        </w:tc>
        <w:tc>
          <w:tcPr>
            <w:tcW w:type="dxa" w:w="4320"/>
          </w:tcPr>
          <w:p>
            <w:r/>
            <w:r>
              <w:rPr/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model-pointer.md</w:t>
            </w:r>
          </w:p>
        </w:tc>
        <w:tc>
          <w:tcPr>
            <w:tcW w:type="dxa" w:w="4320"/>
          </w:tcPr>
          <w:p>
            <w:r/>
            <w:r>
              <w:rPr/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runway-and-burn.md</w:t>
            </w:r>
          </w:p>
        </w:tc>
        <w:tc>
          <w:tcPr>
            <w:tcW w:type="dxa" w:w="4320"/>
          </w:tcPr>
          <w:p>
            <w:r/>
            <w:r>
              <w:rPr/>
              <w:t>2</w:t>
            </w:r>
          </w:p>
        </w:tc>
      </w:tr>
    </w:tbl>
    <w:p>
      <w:pPr>
        <w:pStyle w:val="Heading2"/>
      </w:pPr>
      <w:r/>
      <w:r>
        <w:rPr/>
        <w:t>08-Team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Tier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bios-leadership.md</w:t>
            </w:r>
          </w:p>
        </w:tc>
        <w:tc>
          <w:tcPr>
            <w:tcW w:type="dxa" w:w="4320"/>
          </w:tcPr>
          <w:p>
            <w:r/>
            <w:r>
              <w:rPr/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org-chart-hiring-plan.md</w:t>
            </w:r>
          </w:p>
        </w:tc>
        <w:tc>
          <w:tcPr>
            <w:tcW w:type="dxa" w:w="4320"/>
          </w:tcPr>
          <w:p>
            <w:r/>
            <w:r>
              <w:rPr/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advisor-board-roster.md</w:t>
            </w:r>
          </w:p>
        </w:tc>
        <w:tc>
          <w:tcPr>
            <w:tcW w:type="dxa" w:w="4320"/>
          </w:tcPr>
          <w:p>
            <w:r/>
            <w:r>
              <w:rPr/>
              <w:t>1</w:t>
            </w:r>
          </w:p>
        </w:tc>
      </w:tr>
    </w:tbl>
    <w:p>
      <w:pPr>
        <w:pStyle w:val="Heading2"/>
      </w:pPr>
      <w:r/>
      <w:r>
        <w:rPr/>
        <w:t>09-Board-Materials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Tier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prior-board-decks-index.md</w:t>
            </w:r>
          </w:p>
        </w:tc>
        <w:tc>
          <w:tcPr>
            <w:tcW w:type="dxa" w:w="4320"/>
          </w:tcPr>
          <w:p>
            <w:r/>
            <w:r>
              <w:rPr/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material-resolutions.md</w:t>
            </w:r>
          </w:p>
        </w:tc>
        <w:tc>
          <w:tcPr>
            <w:tcW w:type="dxa" w:w="4320"/>
          </w:tcPr>
          <w:p>
            <w:r/>
            <w:r>
              <w:rPr/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governance-structure.md</w:t>
            </w:r>
          </w:p>
        </w:tc>
        <w:tc>
          <w:tcPr>
            <w:tcW w:type="dxa" w:w="4320"/>
          </w:tcPr>
          <w:p>
            <w:r/>
            <w:r>
              <w:rPr/>
              <w:t>2</w:t>
            </w:r>
          </w:p>
        </w:tc>
      </w:tr>
    </w:tbl>
    <w:p>
      <w:pPr>
        <w:pStyle w:val="Heading2"/>
      </w:pPr>
      <w:r/>
      <w:r>
        <w:rPr/>
        <w:t>10-Diligence-QA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Tier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frequently-asked-investor-questions.md</w:t>
            </w:r>
          </w:p>
        </w:tc>
        <w:tc>
          <w:tcPr>
            <w:tcW w:type="dxa" w:w="4320"/>
          </w:tcPr>
          <w:p>
            <w:r/>
            <w:r>
              <w:rPr/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data-requests-log.md</w:t>
            </w:r>
          </w:p>
        </w:tc>
        <w:tc>
          <w:tcPr>
            <w:tcW w:type="dxa" w:w="4320"/>
          </w:tcPr>
          <w:p>
            <w:r/>
            <w:r>
              <w:rPr/>
              <w:t>Internal (sponsor counsel only)</w:t>
            </w:r>
          </w:p>
        </w:tc>
      </w:tr>
    </w:tbl>
    <w:p>
      <w:pPr>
        <w:pStyle w:val="Heading1"/>
      </w:pPr>
      <w:r/>
      <w:r>
        <w:rPr/>
        <w:t>Cross-References to Other Artifacts</w:t>
      </w:r>
    </w:p>
    <w:p>
      <w:r>
        <w:rPr/>
        <w:t>The full financial model and proforma cap table are maintained outside this room as live spreadsheets:</w:t>
      </w:r>
    </w:p>
    <w:p>
      <w:pPr>
        <w:pStyle w:val="ListBullet"/>
      </w:pPr>
      <w:r>
        <w:rPr>
          <w:rFonts w:ascii="Consolas" w:hAnsi="Consolas"/>
          <w:sz w:val="20"/>
        </w:rPr>
        <w:t>../model/financial_model.xlsx</w:t>
      </w:r>
      <w:r>
        <w:rPr/>
        <w:t xml:space="preserve"> — five-year P&amp;L, bookings build, unit economics, cohort retention</w:t>
      </w:r>
    </w:p>
    <w:p>
      <w:pPr>
        <w:pStyle w:val="ListBullet"/>
      </w:pPr>
      <w:r>
        <w:rPr>
          <w:rFonts w:ascii="Consolas" w:hAnsi="Consolas"/>
          <w:sz w:val="20"/>
        </w:rPr>
        <w:t>../model/proforma.xlsx</w:t>
      </w:r>
      <w:r>
        <w:rPr/>
        <w:t xml:space="preserve"> — pre/post-money cap table with Series A waterfall</w:t>
      </w:r>
    </w:p>
    <w:p>
      <w:r>
        <w:rPr/>
        <w:t xml:space="preserve">Pointers in </w:t>
      </w:r>
      <w:r>
        <w:rPr>
          <w:rFonts w:ascii="Consolas" w:hAnsi="Consolas"/>
          <w:sz w:val="20"/>
        </w:rPr>
        <w:t>07-Financials/</w:t>
      </w:r>
      <w:r>
        <w:rPr/>
        <w:t xml:space="preserve"> and </w:t>
      </w:r>
      <w:r>
        <w:rPr>
          <w:rFonts w:ascii="Consolas" w:hAnsi="Consolas"/>
          <w:sz w:val="20"/>
        </w:rPr>
        <w:t>01-Corporate/</w:t>
      </w:r>
      <w:r>
        <w:rPr/>
        <w:t xml:space="preserve"> link investors to those files via Datasite.</w:t>
      </w:r>
    </w:p>
    <w:p>
      <w:pPr>
        <w:pStyle w:val="Heading1"/>
      </w:pPr>
      <w:r/>
      <w:r>
        <w:rPr/>
        <w:t>Contact</w:t>
      </w:r>
    </w:p>
    <w:p>
      <w:pPr>
        <w:pStyle w:val="ListBullet"/>
      </w:pPr>
      <w:r>
        <w:rPr>
          <w:b/>
        </w:rPr>
        <w:t>Diligence requests:</w:t>
      </w:r>
      <w:r>
        <w:rPr/>
        <w:t xml:space="preserve"> diligence@healthco.example (routed to Sarah Whittaker, COO)</w:t>
      </w:r>
    </w:p>
    <w:p>
      <w:pPr>
        <w:pStyle w:val="ListBullet"/>
      </w:pPr>
      <w:r>
        <w:rPr>
          <w:b/>
        </w:rPr>
        <w:t>Counsel:</w:t>
      </w:r>
      <w:r>
        <w:rPr/>
        <w:t xml:space="preserve"> Cooley LLP — Boston office</w:t>
      </w:r>
    </w:p>
    <w:p>
      <w:pPr>
        <w:pStyle w:val="ListBullet"/>
      </w:pPr>
      <w:r>
        <w:rPr>
          <w:b/>
        </w:rPr>
        <w:t>Data room admin:</w:t>
      </w:r>
      <w:r>
        <w:rPr/>
        <w:t xml:space="preserve"> HealthCo Finance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