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HealthCo — Series A Deal Memo</w:t>
      </w:r>
    </w:p>
    <w:p>
      <w:r>
        <w:rPr>
          <w:b/>
        </w:rPr>
        <w:t>Prepared by:</w:t>
      </w:r>
      <w:r>
        <w:rPr/>
        <w:t xml:space="preserve"> Investment Analyst Practice, on behalf of HealthCo </w:t>
      </w:r>
      <w:r>
        <w:rPr>
          <w:b/>
        </w:rPr>
        <w:t>Audience:</w:t>
      </w:r>
      <w:r>
        <w:rPr/>
        <w:t xml:space="preserve"> Prospective lead investor (under active dialogue) </w:t>
      </w:r>
      <w:r>
        <w:rPr>
          <w:b/>
        </w:rPr>
        <w:t>Round:</w:t>
      </w:r>
      <w:r>
        <w:rPr/>
        <w:t xml:space="preserve"> $15.0M Series A — $50.0M pre-money / $65.0M post-money </w:t>
      </w:r>
      <w:r>
        <w:rPr>
          <w:b/>
        </w:rPr>
        <w:t>Date:</w:t>
      </w:r>
      <w:r>
        <w:rPr/>
        <w:t xml:space="preserve"> May 2026 </w:t>
      </w:r>
      <w:r>
        <w:rPr>
          <w:b/>
        </w:rPr>
        <w:t>Status:</w:t>
      </w:r>
      <w:r>
        <w:rPr/>
        <w:t xml:space="preserve"> Confidential — for discussion purposes only</w:t>
      </w:r>
    </w:p>
    <w:p>
      <w:pPr>
        <w:pBdr>
          <w:bottom w:val="single" w:sz="6" w:space="1" w:color="808080"/>
        </w:pBdr>
      </w:pPr>
    </w:p>
    <w:p>
      <w:pPr>
        <w:pStyle w:val="Heading1"/>
      </w:pPr>
      <w:r/>
      <w:r>
        <w:rPr/>
        <w:t>1. Executive Summary</w:t>
      </w:r>
    </w:p>
    <w:p>
      <w:r>
        <w:rPr/>
        <w:t xml:space="preserve">HealthCo is a Boston-based AI software-as-a-medical-device (SaMD) company commercializing </w:t>
      </w:r>
      <w:r>
        <w:rPr>
          <w:b/>
        </w:rPr>
        <w:t>EchoPilot</w:t>
      </w:r>
      <w:r>
        <w:rPr/>
        <w:t xml:space="preserve">, an FDA-cleared algorithm that detects cardiac amyloidosis (ATTR-CM and AL subtypes) from standard transthoracic echocardiograms (TTE). The company is raising </w:t>
      </w:r>
      <w:r>
        <w:rPr>
          <w:b/>
        </w:rPr>
        <w:t>$15M in Series A capital at a $50M pre-money valuation</w:t>
      </w:r>
      <w:r>
        <w:rPr/>
        <w:t xml:space="preserve"> to expand commercial reach across U.S. health systems, complete the De Novo pathway for an auto-strain measurement module, and broaden the algorithm pipeline into adjacent cardiology indications (cardio-oncology, valvular disease).</w:t>
      </w:r>
    </w:p>
    <w:p>
      <w:r>
        <w:rPr>
          <w:b/>
        </w:rPr>
        <w:t>Why this round, why now:</w:t>
      </w:r>
    </w:p>
    <w:p>
      <w:pPr>
        <w:pStyle w:val="ListBullet"/>
      </w:pPr>
      <w:r>
        <w:rPr>
          <w:b/>
        </w:rPr>
        <w:t>A clinically silent disease just became treatable.</w:t>
      </w:r>
      <w:r>
        <w:rPr/>
        <w:t xml:space="preserve"> Cardiac amyloidosis was historically diagnosed late and rarely. Pfizer's tafamidis (Vyndaqel/Vyndamax) approval in 2019 — and the more recent Phase 3 readouts for acoramidis (BridgeBio, 2023) and patisiran/vutrisiran (Alnylam) — have transformed amyloidosis into an actively-treated condition. Detection demand has followed: cardiology departments at major IDNs are explicitly building amyloidosis screening workflows.</w:t>
      </w:r>
    </w:p>
    <w:p>
      <w:pPr>
        <w:pStyle w:val="ListBullet"/>
      </w:pPr>
      <w:r>
        <w:rPr>
          <w:b/>
        </w:rPr>
        <w:t>HealthCo has the regulatory lead in the screening modality cardiologists actually use.</w:t>
      </w:r>
      <w:r>
        <w:rPr/>
        <w:t xml:space="preserve"> EchoPilot is </w:t>
      </w:r>
      <w:r>
        <w:rPr>
          <w:b/>
        </w:rPr>
        <w:t>510(k) cleared (2024)</w:t>
      </w:r>
      <w:r>
        <w:rPr/>
        <w:t xml:space="preserve"> for ATTR-CM detection on standard TTE. Echocardiography is performed ~30M times per year in the U.S. (AHA 2024 statistics) and is the entry point of nearly every cardiac workup. Competing AI tools are concentrated on adjacent tasks (EF, view classification) or non-screening modalities (cardiac MRI, point-of-care). The amyloidosis-on-echo niche is, today, narrowly defended.</w:t>
      </w:r>
    </w:p>
    <w:p>
      <w:pPr>
        <w:pStyle w:val="ListBullet"/>
      </w:pPr>
      <w:r>
        <w:rPr>
          <w:b/>
        </w:rPr>
        <w:t>Commercial proof is real, not aspirational.</w:t>
      </w:r>
      <w:r>
        <w:rPr/>
        <w:t xml:space="preserve"> 7 paying or contracted health system customers — Mass General Brigham, Cleveland Clinic, Mayo Clinic, Atrium, Banner, Intermountain, Henry Ford — and </w:t>
      </w:r>
      <w:r>
        <w:rPr>
          <w:b/>
        </w:rPr>
        <w:t>18,000 echos analyzed YTD</w:t>
      </w:r>
      <w:r>
        <w:rPr/>
        <w:t xml:space="preserve">. One peer-reviewed publication in </w:t>
      </w:r>
      <w:r>
        <w:rPr>
          <w:i/>
        </w:rPr>
        <w:t>JACC: Cardiovascular Imaging</w:t>
      </w:r>
      <w:r>
        <w:rPr/>
        <w:t xml:space="preserve"> (2025).</w:t>
      </w:r>
    </w:p>
    <w:p>
      <w:pPr>
        <w:pStyle w:val="ListBullet"/>
      </w:pPr>
      <w:r>
        <w:rPr>
          <w:b/>
        </w:rPr>
        <w:t>Capital efficiency.</w:t>
      </w:r>
      <w:r>
        <w:rPr/>
        <w:t xml:space="preserve"> The company has reached this footprint on $2.5M of angel capital plus non-dilutive grants (NIH SBIR Phase II, AHA Innovation). Average burn is $475K/month. The Series A extends runway to ~30 months and is sized to milestones, not vanity scale.</w:t>
      </w:r>
    </w:p>
    <w:p>
      <w:r>
        <w:rPr>
          <w:b/>
        </w:rPr>
        <w:t>Asks beyond capital:</w:t>
      </w:r>
      <w:r>
        <w:rPr/>
        <w:t xml:space="preserve"> A lead investor with a healthcare imaging-AI portfolio, a board seat, network access to large IDNs, and the ability to make strategic introductions to cardiovascular strategics (Pfizer cardio franchise, Edwards Lifesciences, BD, Medtronic Structural Heart Disease).</w:t>
      </w:r>
    </w:p>
    <w:p>
      <w:r>
        <w:rPr>
          <w:b/>
        </w:rPr>
        <w:t>The candid view.</w:t>
      </w:r>
      <w:r>
        <w:rPr/>
        <w:t xml:space="preserve"> The risks are not in the science. They are in (a) the speed at which CPT reimbursement for echo-AI catches up to the clinical workflow, (b) competitive crowding from larger, better-capitalized echo-AI platforms (Ultromics, Us2.ai) that may add amyloidosis modules opportunistically, and (c) the inherent execution challenge of converting pilot deployments into enterprise contracts at scale. We address each below with what we view as defensible mitigations.</w:t>
      </w:r>
    </w:p>
    <w:p>
      <w:pPr>
        <w:pBdr>
          <w:bottom w:val="single" w:sz="6" w:space="1" w:color="808080"/>
        </w:pBdr>
      </w:pPr>
    </w:p>
    <w:p>
      <w:pPr>
        <w:pStyle w:val="Heading1"/>
      </w:pPr>
      <w:r/>
      <w:r>
        <w:rPr/>
        <w:t>2. The Opportunity</w:t>
      </w:r>
    </w:p>
    <w:p>
      <w:pPr>
        <w:pStyle w:val="Heading2"/>
      </w:pPr>
      <w:r/>
      <w:r>
        <w:rPr/>
        <w:t>Cardiac amyloidosis: an underdiagnosed disease that became a market</w:t>
      </w:r>
    </w:p>
    <w:p>
      <w:r>
        <w:rPr/>
        <w:t>Cardiac amyloidosis is a progressive cardiomyopathy caused by misfolded protein deposition in the myocardium. The two clinically dominant subtypes are:</w:t>
      </w:r>
    </w:p>
    <w:p>
      <w:pPr>
        <w:pStyle w:val="ListBullet"/>
      </w:pPr>
      <w:r>
        <w:rPr>
          <w:b/>
        </w:rPr>
        <w:t>ATTR-CM</w:t>
      </w:r>
      <w:r>
        <w:rPr/>
        <w:t xml:space="preserve"> (transthyretin amyloid cardiomyopathy): wild-type and hereditary forms; predominantly affects older adults, particularly men &gt;65; prevalence rises sharply with age.</w:t>
      </w:r>
    </w:p>
    <w:p>
      <w:pPr>
        <w:pStyle w:val="ListBullet"/>
      </w:pPr>
      <w:r>
        <w:rPr>
          <w:b/>
        </w:rPr>
        <w:t>AL amyloidosis</w:t>
      </w:r>
      <w:r>
        <w:rPr/>
        <w:t xml:space="preserve"> (light-chain): plasma-cell dyscrasia; aggressive and rapidly fatal if untreated, but highly treatable when caught early.</w:t>
      </w:r>
    </w:p>
    <w:p>
      <w:r>
        <w:rPr/>
        <w:t xml:space="preserve">Published estimates suggest </w:t>
      </w:r>
      <w:r>
        <w:rPr>
          <w:b/>
        </w:rPr>
        <w:t>150,000–300,000 undiagnosed ATTR-CM patients in the U.S. Medicare-age population</w:t>
      </w:r>
      <w:r>
        <w:rPr/>
        <w:t xml:space="preserve"> (Gonzalez-Lopez et al.; Maurer et al.; further synthesized in the 2023 ACC Expert Consensus Decision Pathway on cardiac amyloidosis). Historically these patients were misdiagnosed as HFpEF, hypertensive cardiomyopathy, or aortic stenosis with preserved EF. The diagnostic odyssey averaged multiple years and multiple specialists.</w:t>
      </w:r>
    </w:p>
    <w:p>
      <w:r>
        <w:rPr>
          <w:b/>
        </w:rPr>
        <w:t>What changed:</w:t>
      </w:r>
    </w:p>
    <w:p>
      <w:pPr>
        <w:pStyle w:val="ListBullet"/>
      </w:pPr>
      <w:r>
        <w:rPr>
          <w:b/>
        </w:rPr>
        <w:t>Tafamidis (Vyndaqel / Vyndamax, Pfizer)</w:t>
      </w:r>
      <w:r>
        <w:rPr/>
        <w:t xml:space="preserve"> received FDA approval in 2019 for ATTR-CM, the first disease-modifying therapy. Pricing is in the ~$225K/year range, creating both a payer-driven push for accurate diagnosis and a manufacturer-driven push for screening infrastructure.</w:t>
      </w:r>
    </w:p>
    <w:p>
      <w:pPr>
        <w:pStyle w:val="ListBullet"/>
      </w:pPr>
      <w:r>
        <w:rPr>
          <w:b/>
        </w:rPr>
        <w:t>Acoramidis (BridgeBio)</w:t>
      </w:r>
      <w:r>
        <w:rPr/>
        <w:t xml:space="preserve"> demonstrated mortality benefit in the ATTRibute-CM Phase 3 (2023) and was FDA-approved in late 2024.</w:t>
      </w:r>
    </w:p>
    <w:p>
      <w:pPr>
        <w:pStyle w:val="ListBullet"/>
      </w:pPr>
      <w:r>
        <w:rPr>
          <w:b/>
        </w:rPr>
        <w:t>Patisiran and vutrisiran (Alnylam)</w:t>
      </w:r>
      <w:r>
        <w:rPr/>
        <w:t xml:space="preserve"> have expanded the gene-silencing armamentarium for hATTR with cardiomyopathy.</w:t>
      </w:r>
    </w:p>
    <w:p>
      <w:pPr>
        <w:pStyle w:val="ListBullet"/>
      </w:pPr>
      <w:r>
        <w:rPr>
          <w:b/>
        </w:rPr>
        <w:t>AL amyloidosis</w:t>
      </w:r>
      <w:r>
        <w:rPr/>
        <w:t xml:space="preserve"> has seen daratumumab-based regimens (ANDROMEDA, 2020) become standard-of-care, with hematology/oncology centers building dedicated amyloidosis programs.</w:t>
      </w:r>
    </w:p>
    <w:p>
      <w:r>
        <w:rPr/>
        <w:t>The clinical question shifted from "is there anything we can do?" to "are we finding these patients early enough?" Echocardiography is the entry point of nearly every cardiac evaluation, but the imaging features of amyloidosis (apical sparing on strain, increased wall thickness with reduced EF disproportionate to load, biatrial enlargement, restrictive filling) are subtle and inconsistently identified outside specialist centers.</w:t>
      </w:r>
    </w:p>
    <w:p>
      <w:pPr>
        <w:pStyle w:val="Heading2"/>
      </w:pPr>
      <w:r/>
      <w:r>
        <w:rPr/>
        <w:t>Why echocardiography is the right point of intervention</w:t>
      </w:r>
    </w:p>
    <w:p>
      <w:pPr>
        <w:pStyle w:val="ListBullet"/>
      </w:pPr>
      <w:r>
        <w:rPr>
          <w:b/>
        </w:rPr>
        <w:t>Volume:</w:t>
      </w:r>
      <w:r>
        <w:rPr/>
        <w:t xml:space="preserve"> ~30M TTEs/year in the U.S. (AHA 2024 Heart Disease and Stroke Statistics; consistent with CMS Part B utilization data for CPT 93306/93307/93308).</w:t>
      </w:r>
    </w:p>
    <w:p>
      <w:pPr>
        <w:pStyle w:val="ListBullet"/>
      </w:pPr>
      <w:r>
        <w:rPr>
          <w:b/>
        </w:rPr>
        <w:t>Ubiquity:</w:t>
      </w:r>
      <w:r>
        <w:rPr/>
        <w:t xml:space="preserve"> Performed in essentially every hospital, most cardiology offices, many primary care groups via mobile services.</w:t>
      </w:r>
    </w:p>
    <w:p>
      <w:pPr>
        <w:pStyle w:val="ListBullet"/>
      </w:pPr>
      <w:r>
        <w:rPr>
          <w:b/>
        </w:rPr>
        <w:t>Cost:</w:t>
      </w:r>
      <w:r>
        <w:rPr/>
        <w:t xml:space="preserve"> Substantially lower than cardiac MRI or PYP scintigraphy, with no contrast, no radiation, and no specialty technologist requirement.</w:t>
      </w:r>
    </w:p>
    <w:p>
      <w:pPr>
        <w:pStyle w:val="ListBullet"/>
      </w:pPr>
      <w:r>
        <w:rPr>
          <w:b/>
        </w:rPr>
        <w:t>Workflow fit:</w:t>
      </w:r>
      <w:r>
        <w:rPr/>
        <w:t xml:space="preserve"> Reading cardiologists are already opening every study. An AI overlay that flags amyloidosis-suspect studies plugs into the existing read, rather than creating a new modality or workflow.</w:t>
      </w:r>
    </w:p>
    <w:p>
      <w:r>
        <w:rPr/>
        <w:t>This is the canonical "find the needle in the haystack" use case for SaMD — high-volume, low-prevalence, high-cost-of-miss — and it is one of the few imaging-AI niches with a directly attached therapeutic that creates a willing payer.</w:t>
      </w:r>
    </w:p>
    <w:p>
      <w:pPr>
        <w:pBdr>
          <w:bottom w:val="single" w:sz="6" w:space="1" w:color="808080"/>
        </w:pBdr>
      </w:pPr>
    </w:p>
    <w:p>
      <w:pPr>
        <w:pStyle w:val="Heading1"/>
      </w:pPr>
      <w:r/>
      <w:r>
        <w:rPr/>
        <w:t>3. The Product</w:t>
      </w:r>
    </w:p>
    <w:p>
      <w:r>
        <w:rPr>
          <w:b/>
        </w:rPr>
        <w:t>EchoPilot</w:t>
      </w:r>
      <w:r>
        <w:rPr/>
        <w:t xml:space="preserve"> is a cloud-deployed (with on-prem option for IDNs with data residency requirements) DICOM-in / structured-report-out AI service that operates on standard 2D TTE studies.</w:t>
      </w:r>
    </w:p>
    <w:p>
      <w:r>
        <w:rPr>
          <w:b/>
        </w:rPr>
        <w:t>Cleared and in-development capabilities: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Module</w:t>
            </w:r>
          </w:p>
        </w:tc>
        <w:tc>
          <w:tcPr>
            <w:tcW w:type="dxa" w:w="2880"/>
            <w:shd w:val="clear" w:color="auto" w:fill="D9E2F3"/>
          </w:tcPr>
          <w:p>
            <w:r/>
            <w:r>
              <w:rPr>
                <w:b/>
              </w:rPr>
              <w:t>Function</w:t>
            </w:r>
          </w:p>
        </w:tc>
        <w:tc>
          <w:tcPr>
            <w:tcW w:type="dxa" w:w="2880"/>
            <w:shd w:val="clear" w:color="auto" w:fill="D9E2F3"/>
          </w:tcPr>
          <w:p>
            <w:r/>
            <w:r>
              <w:rPr>
                <w:b/>
              </w:rPr>
              <w:t>Status</w:t>
            </w:r>
          </w:p>
        </w:tc>
      </w:tr>
      <w:tr>
        <w:tc>
          <w:tcPr>
            <w:tcW w:type="dxa" w:w="2880"/>
          </w:tcPr>
          <w:p>
            <w:r/>
            <w:r>
              <w:rPr/>
              <w:t>ATTR-CM detection</w:t>
            </w:r>
          </w:p>
        </w:tc>
        <w:tc>
          <w:tcPr>
            <w:tcW w:type="dxa" w:w="2880"/>
          </w:tcPr>
          <w:p>
            <w:r/>
            <w:r>
              <w:rPr/>
              <w:t>Probability score for ATTR-CM phenotype on standard TTE</w:t>
            </w:r>
          </w:p>
        </w:tc>
        <w:tc>
          <w:tcPr>
            <w:tcW w:type="dxa" w:w="2880"/>
          </w:tcPr>
          <w:p>
            <w:r/>
            <w:r>
              <w:rPr>
                <w:b/>
              </w:rPr>
              <w:t>510(k) cleared, 2024.</w:t>
            </w:r>
            <w:r>
              <w:rPr/>
              <w:t xml:space="preserve"> Predicate: Ultromics EchoGo Pro</w:t>
            </w:r>
          </w:p>
        </w:tc>
      </w:tr>
      <w:tr>
        <w:tc>
          <w:tcPr>
            <w:tcW w:type="dxa" w:w="2880"/>
          </w:tcPr>
          <w:p>
            <w:r/>
            <w:r>
              <w:rPr/>
              <w:t>AL screening</w:t>
            </w:r>
          </w:p>
        </w:tc>
        <w:tc>
          <w:tcPr>
            <w:tcW w:type="dxa" w:w="2880"/>
          </w:tcPr>
          <w:p>
            <w:r/>
            <w:r>
              <w:rPr/>
              <w:t>Probability score for AL phenotype, paired with recommendation for serum/urine immunofixation and free light chains</w:t>
            </w:r>
          </w:p>
        </w:tc>
        <w:tc>
          <w:tcPr>
            <w:tcW w:type="dxa" w:w="2880"/>
          </w:tcPr>
          <w:p>
            <w:r/>
            <w:r>
              <w:rPr/>
              <w:t>Cleared as part of 2024 510(k)</w:t>
            </w:r>
          </w:p>
        </w:tc>
      </w:tr>
      <w:tr>
        <w:tc>
          <w:tcPr>
            <w:tcW w:type="dxa" w:w="2880"/>
          </w:tcPr>
          <w:p>
            <w:r/>
            <w:r>
              <w:rPr/>
              <w:t>Auto-strain (GLS)</w:t>
            </w:r>
          </w:p>
        </w:tc>
        <w:tc>
          <w:tcPr>
            <w:tcW w:type="dxa" w:w="2880"/>
          </w:tcPr>
          <w:p>
            <w:r/>
            <w:r>
              <w:rPr/>
              <w:t>Automated global longitudinal strain measurement, including apical-sparing pattern</w:t>
            </w:r>
          </w:p>
        </w:tc>
        <w:tc>
          <w:tcPr>
            <w:tcW w:type="dxa" w:w="2880"/>
          </w:tcPr>
          <w:p>
            <w:r/>
            <w:r>
              <w:rPr>
                <w:b/>
              </w:rPr>
              <w:t>De Novo submission in progress; FY26 expected</w:t>
            </w:r>
          </w:p>
        </w:tc>
      </w:tr>
      <w:tr>
        <w:tc>
          <w:tcPr>
            <w:tcW w:type="dxa" w:w="2880"/>
          </w:tcPr>
          <w:p>
            <w:r/>
            <w:r>
              <w:rPr/>
              <w:t>Auto-EF</w:t>
            </w:r>
          </w:p>
        </w:tc>
        <w:tc>
          <w:tcPr>
            <w:tcW w:type="dxa" w:w="2880"/>
          </w:tcPr>
          <w:p>
            <w:r/>
            <w:r>
              <w:rPr/>
              <w:t>Automated ejection fraction measurement</w:t>
            </w:r>
          </w:p>
        </w:tc>
        <w:tc>
          <w:tcPr>
            <w:tcW w:type="dxa" w:w="2880"/>
          </w:tcPr>
          <w:p>
            <w:r/>
            <w:r>
              <w:rPr/>
              <w:t>Cleared as part of 2024 510(k)</w:t>
            </w:r>
          </w:p>
        </w:tc>
      </w:tr>
      <w:tr>
        <w:tc>
          <w:tcPr>
            <w:tcW w:type="dxa" w:w="2880"/>
          </w:tcPr>
          <w:p>
            <w:r/>
            <w:r>
              <w:rPr/>
              <w:t>Cardio-oncology module</w:t>
            </w:r>
          </w:p>
        </w:tc>
        <w:tc>
          <w:tcPr>
            <w:tcW w:type="dxa" w:w="2880"/>
          </w:tcPr>
          <w:p>
            <w:r/>
            <w:r>
              <w:rPr/>
              <w:t>Cardiotoxicity surveillance for oncology patients on anthracyclines / HER2-targeted therapy</w:t>
            </w:r>
          </w:p>
        </w:tc>
        <w:tc>
          <w:tcPr>
            <w:tcW w:type="dxa" w:w="2880"/>
          </w:tcPr>
          <w:p>
            <w:r/>
            <w:r>
              <w:rPr/>
              <w:t>R&amp;D — pre-submission</w:t>
            </w:r>
          </w:p>
        </w:tc>
      </w:tr>
      <w:tr>
        <w:tc>
          <w:tcPr>
            <w:tcW w:type="dxa" w:w="2880"/>
          </w:tcPr>
          <w:p>
            <w:r/>
            <w:r>
              <w:rPr/>
              <w:t>Valvular disease module</w:t>
            </w:r>
          </w:p>
        </w:tc>
        <w:tc>
          <w:tcPr>
            <w:tcW w:type="dxa" w:w="2880"/>
          </w:tcPr>
          <w:p>
            <w:r/>
            <w:r>
              <w:rPr/>
              <w:t>Aortic stenosis severity grading and surveillance</w:t>
            </w:r>
          </w:p>
        </w:tc>
        <w:tc>
          <w:tcPr>
            <w:tcW w:type="dxa" w:w="2880"/>
          </w:tcPr>
          <w:p>
            <w:r/>
            <w:r>
              <w:rPr/>
              <w:t>R&amp;D — pre-submission</w:t>
            </w:r>
          </w:p>
        </w:tc>
      </w:tr>
    </w:tbl>
    <w:p>
      <w:r>
        <w:rPr>
          <w:b/>
        </w:rPr>
        <w:t>Integration.</w:t>
      </w:r>
      <w:r>
        <w:rPr/>
        <w:t xml:space="preserve"> EchoPilot ingests DICOM via standard echo lab routing (Sectra, Change Healthcare/Merative, GE Centricity, Philips IntelliSpace). Results return as a structured PDF appended to the study and as discrete fields written back to the cardiology reporting system (TomTec, Syngo Dynamics, Xcelera, GE Image Vault). Average latency is sub-5 minutes from study completion.</w:t>
      </w:r>
    </w:p>
    <w:p>
      <w:r>
        <w:rPr>
          <w:b/>
        </w:rPr>
        <w:t>Validation.</w:t>
      </w:r>
      <w:r>
        <w:rPr/>
        <w:t xml:space="preserve"> The pivotal dataset for the 510(k) included approximately 12,000 studies spanning seven sites with biopsy-, PYP-, or genetic-confirmed amyloidosis cases. Sensitivity and specificity figures published in </w:t>
      </w:r>
      <w:r>
        <w:rPr>
          <w:i/>
        </w:rPr>
        <w:t>JACC: Cardiovascular Imaging</w:t>
      </w:r>
      <w:r>
        <w:rPr/>
        <w:t xml:space="preserve"> (2025) are competitive with the leading published echo-AI amyloidosis literature (e.g., Goto et al., </w:t>
      </w:r>
      <w:r>
        <w:rPr>
          <w:i/>
        </w:rPr>
        <w:t>Nature Medicine</w:t>
      </w:r>
      <w:r>
        <w:rPr/>
        <w:t>, 2021). Real-world performance across the seven pilot sites has been consistent with the registrational dataset to date, though sample sizes at individual sites remain modest and out-of-distribution monitoring is an ongoing program commitment.</w:t>
      </w:r>
    </w:p>
    <w:p>
      <w:pPr>
        <w:pBdr>
          <w:bottom w:val="single" w:sz="6" w:space="1" w:color="808080"/>
        </w:pBdr>
      </w:pPr>
    </w:p>
    <w:p>
      <w:pPr>
        <w:pStyle w:val="Heading1"/>
      </w:pPr>
      <w:r/>
      <w:r>
        <w:rPr/>
        <w:t>4. Market</w:t>
      </w:r>
    </w:p>
    <w:p>
      <w:pPr>
        <w:pStyle w:val="Heading2"/>
      </w:pPr>
      <w:r/>
      <w:r>
        <w:rPr/>
        <w:t>TAM / SAM / SOM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rPr>
              <w:t>Layer</w:t>
            </w:r>
          </w:p>
        </w:tc>
        <w:tc>
          <w:tcPr>
            <w:tcW w:type="dxa" w:w="2160"/>
            <w:shd w:val="clear" w:color="auto" w:fill="D9E2F3"/>
          </w:tcPr>
          <w:p>
            <w:r/>
            <w:r>
              <w:rPr>
                <w:b/>
              </w:rPr>
              <w:t>Definition</w:t>
            </w:r>
          </w:p>
        </w:tc>
        <w:tc>
          <w:tcPr>
            <w:tcW w:type="dxa" w:w="2160"/>
            <w:shd w:val="clear" w:color="auto" w:fill="D9E2F3"/>
          </w:tcPr>
          <w:p>
            <w:r/>
            <w:r>
              <w:rPr>
                <w:b/>
              </w:rPr>
              <w:t>Size</w:t>
            </w:r>
          </w:p>
        </w:tc>
        <w:tc>
          <w:tcPr>
            <w:tcW w:type="dxa" w:w="2160"/>
            <w:shd w:val="clear" w:color="auto" w:fill="D9E2F3"/>
          </w:tcPr>
          <w:p>
            <w:r/>
            <w:r>
              <w:rPr>
                <w:b/>
              </w:rPr>
              <w:t>Logic</w:t>
            </w:r>
          </w:p>
        </w:tc>
      </w:tr>
      <w:tr>
        <w:tc>
          <w:tcPr>
            <w:tcW w:type="dxa" w:w="2160"/>
          </w:tcPr>
          <w:p>
            <w:r/>
            <w:r>
              <w:rPr>
                <w:b/>
              </w:rPr>
              <w:t>TAM</w:t>
            </w:r>
          </w:p>
        </w:tc>
        <w:tc>
          <w:tcPr>
            <w:tcW w:type="dxa" w:w="2160"/>
          </w:tcPr>
          <w:p>
            <w:r/>
            <w:r>
              <w:rPr/>
              <w:t>All U.S. TTEs analyzable by EchoPilot at fully-loaded per-study fee</w:t>
            </w:r>
          </w:p>
        </w:tc>
        <w:tc>
          <w:tcPr>
            <w:tcW w:type="dxa" w:w="2160"/>
          </w:tcPr>
          <w:p>
            <w:r/>
            <w:r>
              <w:rPr/>
              <w:t xml:space="preserve">~30M studies/yr × $50 blended = </w:t>
            </w:r>
            <w:r>
              <w:rPr>
                <w:b/>
              </w:rPr>
              <w:t>$1.5B</w:t>
            </w:r>
          </w:p>
        </w:tc>
        <w:tc>
          <w:tcPr>
            <w:tcW w:type="dxa" w:w="2160"/>
          </w:tcPr>
          <w:p>
            <w:r/>
            <w:r>
              <w:rPr/>
              <w:t>AHA 2024 Statistics; AMA RUC Part B utilization</w:t>
            </w:r>
          </w:p>
        </w:tc>
      </w:tr>
      <w:tr>
        <w:tc>
          <w:tcPr>
            <w:tcW w:type="dxa" w:w="2160"/>
          </w:tcPr>
          <w:p>
            <w:r/>
            <w:r>
              <w:rPr>
                <w:b/>
              </w:rPr>
              <w:t>SAM</w:t>
            </w:r>
          </w:p>
        </w:tc>
        <w:tc>
          <w:tcPr>
            <w:tcW w:type="dxa" w:w="2160"/>
          </w:tcPr>
          <w:p>
            <w:r/>
            <w:r>
              <w:rPr/>
              <w:t>TTEs at addressable U.S. sites (hospital outpatient + IDN-affiliated cardiology)</w:t>
            </w:r>
          </w:p>
        </w:tc>
        <w:tc>
          <w:tcPr>
            <w:tcW w:type="dxa" w:w="2160"/>
          </w:tcPr>
          <w:p>
            <w:r/>
            <w:r>
              <w:rPr/>
              <w:t xml:space="preserve">~18M studies/yr × $50 = </w:t>
            </w:r>
            <w:r>
              <w:rPr>
                <w:b/>
              </w:rPr>
              <w:t>$900M</w:t>
            </w:r>
          </w:p>
        </w:tc>
        <w:tc>
          <w:tcPr>
            <w:tcW w:type="dxa" w:w="2160"/>
          </w:tcPr>
          <w:p>
            <w:r/>
            <w:r>
              <w:rPr/>
              <w:t>Excludes mobile/independent labs and non-IDN ASCs in near-term GTM</w:t>
            </w:r>
          </w:p>
        </w:tc>
      </w:tr>
      <w:tr>
        <w:tc>
          <w:tcPr>
            <w:tcW w:type="dxa" w:w="2160"/>
          </w:tcPr>
          <w:p>
            <w:r/>
            <w:r>
              <w:rPr>
                <w:b/>
              </w:rPr>
              <w:t>SOM (5-yr)</w:t>
            </w:r>
          </w:p>
        </w:tc>
        <w:tc>
          <w:tcPr>
            <w:tcW w:type="dxa" w:w="2160"/>
          </w:tcPr>
          <w:p>
            <w:r/>
            <w:r>
              <w:rPr/>
              <w:t>Realistic deployed share assuming 12–18% IDN penetration</w:t>
            </w:r>
          </w:p>
        </w:tc>
        <w:tc>
          <w:tcPr>
            <w:tcW w:type="dxa" w:w="2160"/>
          </w:tcPr>
          <w:p>
            <w:r/>
            <w:r>
              <w:rPr/>
              <w:t xml:space="preserve">~2.5M studies/yr × $45 = </w:t>
            </w:r>
            <w:r>
              <w:rPr>
                <w:b/>
              </w:rPr>
              <w:t>$112M ARR</w:t>
            </w:r>
          </w:p>
        </w:tc>
        <w:tc>
          <w:tcPr>
            <w:tcW w:type="dxa" w:w="2160"/>
          </w:tcPr>
          <w:p>
            <w:r/>
            <w:r>
              <w:rPr/>
              <w:t>Triangulated against Caption Health installed base at GE acquisition (~$300M EV, 2023)</w:t>
            </w:r>
          </w:p>
        </w:tc>
      </w:tr>
    </w:tbl>
    <w:p>
      <w:pPr>
        <w:pStyle w:val="Heading2"/>
      </w:pPr>
      <w:r/>
      <w:r>
        <w:rPr/>
        <w:t>Reimbursement strategy</w:t>
      </w:r>
    </w:p>
    <w:p>
      <w:r>
        <w:rPr/>
        <w:t>We treat reimbursement as the central commercial variable, not a sidebar.</w:t>
      </w:r>
    </w:p>
    <w:p>
      <w:pPr>
        <w:pStyle w:val="ListBullet"/>
      </w:pPr>
      <w:r>
        <w:rPr>
          <w:b/>
        </w:rPr>
        <w:t>Today (2026):</w:t>
      </w:r>
      <w:r>
        <w:rPr/>
        <w:t xml:space="preserve"> No dedicated CPT for echo-AI add-on. </w:t>
      </w:r>
      <w:r>
        <w:rPr>
          <w:b/>
        </w:rPr>
        <w:t>CPT 0623T</w:t>
      </w:r>
      <w:r>
        <w:rPr/>
        <w:t xml:space="preserve"> (the Category III code for cardiac MRI AI add-on) is the analogous precedent and informed CMS's pricing logic for AI-assisted imaging. Some commercial payers cover EchoPilot use on a case-by-case basis under existing echo CPTs (93306/93307/93308) where the AI report is incorporated into the cardiologist's interpretation. A subset of IDNs are paying out-of-pocket as a cost of reducing diagnostic odyssey and capturing downstream amyloidosis treatment volume.</w:t>
      </w:r>
    </w:p>
    <w:p>
      <w:pPr>
        <w:pStyle w:val="ListBullet"/>
      </w:pPr>
      <w:r>
        <w:rPr>
          <w:b/>
        </w:rPr>
        <w:t>In progress:</w:t>
      </w:r>
      <w:r>
        <w:rPr/>
        <w:t xml:space="preserve"> HealthCo is participating in the </w:t>
      </w:r>
      <w:r>
        <w:rPr>
          <w:b/>
        </w:rPr>
        <w:t>AMA CPT Editorial Panel process for a dedicated Category III code for echo-AI add-on</w:t>
      </w:r>
      <w:r>
        <w:rPr/>
        <w:t>, with an industry coalition. Realistic timing: 18–30 months to issued code; further 12–24 months to a Category I conversion if utilization warrants.</w:t>
      </w:r>
    </w:p>
    <w:p>
      <w:pPr>
        <w:pStyle w:val="ListBullet"/>
      </w:pPr>
      <w:r>
        <w:rPr>
          <w:b/>
        </w:rPr>
        <w:t>Parallel path:</w:t>
      </w:r>
      <w:r>
        <w:rPr/>
        <w:t xml:space="preserve"> The </w:t>
      </w:r>
      <w:r>
        <w:rPr>
          <w:b/>
        </w:rPr>
        <w:t>NTAP / TPT mechanisms</w:t>
      </w:r>
      <w:r>
        <w:rPr/>
        <w:t xml:space="preserve"> are not the right fit (outpatient, software). The economic argument to IDNs is downstream: each true-positive amyloidosis case caught earlier is associated with substantial downstream revenue (cardiology consults, PYP scans, hematology workup, infusion services for AL, specialty pharmacy for ATTR therapies). HealthCo's commercial team is selling on this ROI today, and it is the basis on which the seven pilot IDNs have signed.</w:t>
      </w:r>
    </w:p>
    <w:p>
      <w:pPr>
        <w:pStyle w:val="ListBullet"/>
      </w:pPr>
      <w:r>
        <w:rPr>
          <w:b/>
        </w:rPr>
        <w:t>Strategic dependency:</w:t>
      </w:r>
      <w:r>
        <w:rPr/>
        <w:t xml:space="preserve"> If a dedicated CPT lands, ARR per site approximately doubles. If it does not land within 24 months, growth depends entirely on enterprise contracts and pharma-funded screening programs (see Risks).</w:t>
      </w:r>
    </w:p>
    <w:p>
      <w:pPr>
        <w:pBdr>
          <w:bottom w:val="single" w:sz="6" w:space="1" w:color="808080"/>
        </w:pBdr>
      </w:pPr>
    </w:p>
    <w:p>
      <w:pPr>
        <w:pStyle w:val="Heading1"/>
      </w:pPr>
      <w:r/>
      <w:r>
        <w:rPr/>
        <w:t>5. Competitive Landscape</w:t>
      </w:r>
    </w:p>
    <w:p>
      <w:r>
        <w:rPr/>
        <w:t xml:space="preserve">The echo-AI category has matured rapidly. We see the field as having three tiers, with HealthCo positioned as a </w:t>
      </w:r>
      <w:r>
        <w:rPr>
          <w:b/>
        </w:rPr>
        <w:t>focused clinical-utility player</w:t>
      </w:r>
      <w:r>
        <w:rPr/>
        <w:t xml:space="preserve"> rather than a horizontal platform.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rPr>
              <w:t>Company</w:t>
            </w:r>
          </w:p>
        </w:tc>
        <w:tc>
          <w:tcPr>
            <w:tcW w:type="dxa" w:w="1440"/>
            <w:shd w:val="clear" w:color="auto" w:fill="D9E2F3"/>
          </w:tcPr>
          <w:p>
            <w:r/>
            <w:r>
              <w:rPr>
                <w:b/>
              </w:rPr>
              <w:t>Stage / Status</w:t>
            </w:r>
          </w:p>
        </w:tc>
        <w:tc>
          <w:tcPr>
            <w:tcW w:type="dxa" w:w="1440"/>
            <w:shd w:val="clear" w:color="auto" w:fill="D9E2F3"/>
          </w:tcPr>
          <w:p>
            <w:r/>
            <w:r>
              <w:rPr>
                <w:b/>
              </w:rPr>
              <w:t>Core focus</w:t>
            </w:r>
          </w:p>
        </w:tc>
        <w:tc>
          <w:tcPr>
            <w:tcW w:type="dxa" w:w="1440"/>
            <w:shd w:val="clear" w:color="auto" w:fill="D9E2F3"/>
          </w:tcPr>
          <w:p>
            <w:r/>
            <w:r>
              <w:rPr>
                <w:b/>
              </w:rPr>
              <w:t>Overlap with HealthCo</w:t>
            </w:r>
          </w:p>
        </w:tc>
        <w:tc>
          <w:tcPr>
            <w:tcW w:type="dxa" w:w="1440"/>
            <w:shd w:val="clear" w:color="auto" w:fill="D9E2F3"/>
          </w:tcPr>
          <w:p>
            <w:r/>
            <w:r>
              <w:rPr>
                <w:b/>
              </w:rPr>
              <w:t>Where HealthCo wins</w:t>
            </w:r>
          </w:p>
        </w:tc>
        <w:tc>
          <w:tcPr>
            <w:tcW w:type="dxa" w:w="1440"/>
            <w:shd w:val="clear" w:color="auto" w:fill="D9E2F3"/>
          </w:tcPr>
          <w:p>
            <w:r/>
            <w:r>
              <w:rPr>
                <w:b/>
              </w:rPr>
              <w:t>Where HealthCo concedes</w:t>
            </w:r>
          </w:p>
        </w:tc>
      </w:tr>
      <w:tr>
        <w:tc>
          <w:tcPr>
            <w:tcW w:type="dxa" w:w="1440"/>
          </w:tcPr>
          <w:p>
            <w:r/>
            <w:r>
              <w:rPr>
                <w:b/>
              </w:rPr>
              <w:t>Ultromics</w:t>
            </w:r>
            <w:r>
              <w:rPr/>
              <w:t xml:space="preserve"> (UK)</w:t>
            </w:r>
          </w:p>
        </w:tc>
        <w:tc>
          <w:tcPr>
            <w:tcW w:type="dxa" w:w="1440"/>
          </w:tcPr>
          <w:p>
            <w:r/>
            <w:r>
              <w:rPr/>
              <w:t>Series B, ~$36M raised (2024 round); Mayo, Cleveland Clinic partnerships</w:t>
            </w:r>
          </w:p>
        </w:tc>
        <w:tc>
          <w:tcPr>
            <w:tcW w:type="dxa" w:w="1440"/>
          </w:tcPr>
          <w:p>
            <w:r/>
            <w:r>
              <w:rPr/>
              <w:t>EchoGo platform — HFpEF, amyloidosis, EF/strain</w:t>
            </w:r>
          </w:p>
        </w:tc>
        <w:tc>
          <w:tcPr>
            <w:tcW w:type="dxa" w:w="1440"/>
          </w:tcPr>
          <w:p>
            <w:r/>
            <w:r>
              <w:rPr/>
              <w:t>High — direct amyloidosis competitor</w:t>
            </w:r>
          </w:p>
        </w:tc>
        <w:tc>
          <w:tcPr>
            <w:tcW w:type="dxa" w:w="1440"/>
          </w:tcPr>
          <w:p>
            <w:r/>
            <w:r>
              <w:rPr/>
              <w:t>More recent U.S. clearance; Boston-anchored U.S. commercial team; direct integrations with U.S. EMRs</w:t>
            </w:r>
          </w:p>
        </w:tc>
        <w:tc>
          <w:tcPr>
            <w:tcW w:type="dxa" w:w="1440"/>
          </w:tcPr>
          <w:p>
            <w:r/>
            <w:r>
              <w:rPr/>
              <w:t>Capital, brand, U.S. KOL relationships built earlier</w:t>
            </w:r>
          </w:p>
        </w:tc>
      </w:tr>
      <w:tr>
        <w:tc>
          <w:tcPr>
            <w:tcW w:type="dxa" w:w="1440"/>
          </w:tcPr>
          <w:p>
            <w:r/>
            <w:r>
              <w:rPr>
                <w:b/>
              </w:rPr>
              <w:t>Us2.ai</w:t>
            </w:r>
            <w:r>
              <w:rPr/>
              <w:t xml:space="preserve"> (Singapore/U.S.)</w:t>
            </w:r>
          </w:p>
        </w:tc>
        <w:tc>
          <w:tcPr>
            <w:tcW w:type="dxa" w:w="1440"/>
          </w:tcPr>
          <w:p>
            <w:r/>
            <w:r>
              <w:rPr/>
              <w:t>Series B, ~$40M raised (2024)</w:t>
            </w:r>
          </w:p>
        </w:tc>
        <w:tc>
          <w:tcPr>
            <w:tcW w:type="dxa" w:w="1440"/>
          </w:tcPr>
          <w:p>
            <w:r/>
            <w:r>
              <w:rPr/>
              <w:t>Auto-measurement (EF, strain, chambers) + structured reporting</w:t>
            </w:r>
          </w:p>
        </w:tc>
        <w:tc>
          <w:tcPr>
            <w:tcW w:type="dxa" w:w="1440"/>
          </w:tcPr>
          <w:p>
            <w:r/>
            <w:r>
              <w:rPr/>
              <w:t>Moderate — measurements overlap; not amyloidosis-led</w:t>
            </w:r>
          </w:p>
        </w:tc>
        <w:tc>
          <w:tcPr>
            <w:tcW w:type="dxa" w:w="1440"/>
          </w:tcPr>
          <w:p>
            <w:r/>
            <w:r>
              <w:rPr/>
              <w:t>Disease-detection narrative vs. measurement-automation narrative — buyers are different stakeholders</w:t>
            </w:r>
          </w:p>
        </w:tc>
        <w:tc>
          <w:tcPr>
            <w:tcW w:type="dxa" w:w="1440"/>
          </w:tcPr>
          <w:p>
            <w:r/>
            <w:r>
              <w:rPr/>
              <w:t>Geographic footprint in APAC and large-platform deals</w:t>
            </w:r>
          </w:p>
        </w:tc>
      </w:tr>
      <w:tr>
        <w:tc>
          <w:tcPr>
            <w:tcW w:type="dxa" w:w="1440"/>
          </w:tcPr>
          <w:p>
            <w:r/>
            <w:r>
              <w:rPr>
                <w:b/>
              </w:rPr>
              <w:t>Caption Health</w:t>
            </w:r>
            <w:r>
              <w:rPr/>
              <w:t xml:space="preserve"> (acquired by GE HealthCare, 2023, ~$300M reported)</w:t>
            </w:r>
          </w:p>
        </w:tc>
        <w:tc>
          <w:tcPr>
            <w:tcW w:type="dxa" w:w="1440"/>
          </w:tcPr>
          <w:p>
            <w:r/>
            <w:r>
              <w:rPr/>
              <w:t>Inside GE</w:t>
            </w:r>
          </w:p>
        </w:tc>
        <w:tc>
          <w:tcPr>
            <w:tcW w:type="dxa" w:w="1440"/>
          </w:tcPr>
          <w:p>
            <w:r/>
            <w:r>
              <w:rPr/>
              <w:t>Point-of-care / image acquisition guidance</w:t>
            </w:r>
          </w:p>
        </w:tc>
        <w:tc>
          <w:tcPr>
            <w:tcW w:type="dxa" w:w="1440"/>
          </w:tcPr>
          <w:p>
            <w:r/>
            <w:r>
              <w:rPr/>
              <w:t>Low-moderate — different point in workflow</w:t>
            </w:r>
          </w:p>
        </w:tc>
        <w:tc>
          <w:tcPr>
            <w:tcW w:type="dxa" w:w="1440"/>
          </w:tcPr>
          <w:p>
            <w:r/>
            <w:r>
              <w:rPr/>
              <w:t>Independent / EMR-agnostic deployment vs. GE-tethered</w:t>
            </w:r>
          </w:p>
        </w:tc>
        <w:tc>
          <w:tcPr>
            <w:tcW w:type="dxa" w:w="1440"/>
          </w:tcPr>
          <w:p>
            <w:r/>
            <w:r>
              <w:rPr/>
              <w:t>Distribution muscle of GE installed base</w:t>
            </w:r>
          </w:p>
        </w:tc>
      </w:tr>
      <w:tr>
        <w:tc>
          <w:tcPr>
            <w:tcW w:type="dxa" w:w="1440"/>
          </w:tcPr>
          <w:p>
            <w:r/>
            <w:r>
              <w:rPr>
                <w:b/>
              </w:rPr>
              <w:t>DiA Imaging</w:t>
            </w:r>
            <w:r>
              <w:rPr/>
              <w:t xml:space="preserve"> (acquired by Philips, 2024)</w:t>
            </w:r>
          </w:p>
        </w:tc>
        <w:tc>
          <w:tcPr>
            <w:tcW w:type="dxa" w:w="1440"/>
          </w:tcPr>
          <w:p>
            <w:r/>
            <w:r>
              <w:rPr/>
              <w:t>Inside Philips</w:t>
            </w:r>
          </w:p>
        </w:tc>
        <w:tc>
          <w:tcPr>
            <w:tcW w:type="dxa" w:w="1440"/>
          </w:tcPr>
          <w:p>
            <w:r/>
            <w:r>
              <w:rPr/>
              <w:t>EF/chamber automation embedded in IntelliSpace</w:t>
            </w:r>
          </w:p>
        </w:tc>
        <w:tc>
          <w:tcPr>
            <w:tcW w:type="dxa" w:w="1440"/>
          </w:tcPr>
          <w:p>
            <w:r/>
            <w:r>
              <w:rPr/>
              <w:t>Low — not amyloidosis-focused</w:t>
            </w:r>
          </w:p>
        </w:tc>
        <w:tc>
          <w:tcPr>
            <w:tcW w:type="dxa" w:w="1440"/>
          </w:tcPr>
          <w:p>
            <w:r/>
            <w:r>
              <w:rPr/>
              <w:t>Independent vs. Philips-tethered; cross-vendor IDN deployments</w:t>
            </w:r>
          </w:p>
        </w:tc>
        <w:tc>
          <w:tcPr>
            <w:tcW w:type="dxa" w:w="1440"/>
          </w:tcPr>
          <w:p>
            <w:r/>
            <w:r>
              <w:rPr/>
              <w:t>Philips installed base</w:t>
            </w:r>
          </w:p>
        </w:tc>
      </w:tr>
      <w:tr>
        <w:tc>
          <w:tcPr>
            <w:tcW w:type="dxa" w:w="1440"/>
          </w:tcPr>
          <w:p>
            <w:r/>
            <w:r>
              <w:rPr>
                <w:b/>
              </w:rPr>
              <w:t>Echo IQ</w:t>
            </w:r>
            <w:r>
              <w:rPr/>
              <w:t xml:space="preserve"> (ASX-listed, AU)</w:t>
            </w:r>
          </w:p>
        </w:tc>
        <w:tc>
          <w:tcPr>
            <w:tcW w:type="dxa" w:w="1440"/>
          </w:tcPr>
          <w:p>
            <w:r/>
            <w:r>
              <w:rPr/>
              <w:t>Public small-cap</w:t>
            </w:r>
          </w:p>
        </w:tc>
        <w:tc>
          <w:tcPr>
            <w:tcW w:type="dxa" w:w="1440"/>
          </w:tcPr>
          <w:p>
            <w:r/>
            <w:r>
              <w:rPr/>
              <w:t>Aortic stenosis, amyloidosis-adjacent</w:t>
            </w:r>
          </w:p>
        </w:tc>
        <w:tc>
          <w:tcPr>
            <w:tcW w:type="dxa" w:w="1440"/>
          </w:tcPr>
          <w:p>
            <w:r/>
            <w:r>
              <w:rPr/>
              <w:t>Moderate</w:t>
            </w:r>
          </w:p>
        </w:tc>
        <w:tc>
          <w:tcPr>
            <w:tcW w:type="dxa" w:w="1440"/>
          </w:tcPr>
          <w:p>
            <w:r/>
            <w:r>
              <w:rPr/>
              <w:t>U.S. clearance and commercial scale</w:t>
            </w:r>
          </w:p>
        </w:tc>
        <w:tc>
          <w:tcPr>
            <w:tcW w:type="dxa" w:w="1440"/>
          </w:tcPr>
          <w:p>
            <w:r/>
            <w:r>
              <w:rPr/>
              <w:t>Public-market signaling</w:t>
            </w:r>
          </w:p>
        </w:tc>
      </w:tr>
    </w:tbl>
    <w:p>
      <w:r>
        <w:rPr>
          <w:b/>
        </w:rPr>
        <w:t>Strategic read:</w:t>
      </w:r>
    </w:p>
    <w:p>
      <w:pPr>
        <w:pStyle w:val="ListBullet"/>
      </w:pPr>
      <w:r>
        <w:rPr/>
        <w:t xml:space="preserve">The </w:t>
      </w:r>
      <w:r>
        <w:rPr>
          <w:b/>
        </w:rPr>
        <w:t>acquisitions of Caption (GE) and DiA (Philips)</w:t>
      </w:r>
      <w:r>
        <w:rPr/>
        <w:t xml:space="preserve"> validated AI-on-echo as a category and removed two independents from the table. This is constructive for HealthCo: the remaining independent space is less crowded, and the strategics that did not buy (Pfizer cardio franchise, BD, Medtronic SDx, Edwards) are plausible future partners or acquirers.</w:t>
      </w:r>
    </w:p>
    <w:p>
      <w:pPr>
        <w:pStyle w:val="ListBullet"/>
      </w:pPr>
      <w:r>
        <w:rPr>
          <w:b/>
        </w:rPr>
        <w:t>Ultromics is the most direct competitor</w:t>
      </w:r>
      <w:r>
        <w:rPr/>
        <w:t xml:space="preserve"> and is further along on capital. HealthCo's defensible position is U.S.-first commercial execution, a tighter clinical narrative around amyloidosis, and faster integration timelines than have historically been seen with U.K.-headquartered software vendors selling into U.S. IDNs.</w:t>
      </w:r>
    </w:p>
    <w:p>
      <w:pPr>
        <w:pStyle w:val="ListBullet"/>
      </w:pPr>
      <w:r>
        <w:rPr>
          <w:b/>
        </w:rPr>
        <w:t>Us2.ai serves a different buyer.</w:t>
      </w:r>
      <w:r>
        <w:rPr/>
        <w:t xml:space="preserve"> Their wedge is the echo lab director optimizing throughput; HealthCo's wedge is the cardiology service-line lead building an amyloidosis program. These are complementary, not strictly competitive, and we have seen at least two pilot sites use both.</w:t>
      </w:r>
    </w:p>
    <w:p>
      <w:r>
        <w:rPr/>
        <w:t>We do not believe HealthCo wins by being a horizontal echo-AI platform. It wins by being the disease-detection layer the cardiology service-line buys — and by extending that wedge into the next two indications (cardio-oncology, valvular).</w:t>
      </w:r>
    </w:p>
    <w:p>
      <w:pPr>
        <w:pBdr>
          <w:bottom w:val="single" w:sz="6" w:space="1" w:color="808080"/>
        </w:pBdr>
      </w:pPr>
    </w:p>
    <w:p>
      <w:pPr>
        <w:pStyle w:val="Heading1"/>
      </w:pPr>
      <w:r/>
      <w:r>
        <w:rPr/>
        <w:t>6. Regulatory Pathway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rPr>
              <w:t>Item</w:t>
            </w:r>
          </w:p>
        </w:tc>
        <w:tc>
          <w:tcPr>
            <w:tcW w:type="dxa" w:w="2160"/>
            <w:shd w:val="clear" w:color="auto" w:fill="D9E2F3"/>
          </w:tcPr>
          <w:p>
            <w:r/>
            <w:r>
              <w:rPr>
                <w:b/>
              </w:rPr>
              <w:t>Pathway</w:t>
            </w:r>
          </w:p>
        </w:tc>
        <w:tc>
          <w:tcPr>
            <w:tcW w:type="dxa" w:w="2160"/>
            <w:shd w:val="clear" w:color="auto" w:fill="D9E2F3"/>
          </w:tcPr>
          <w:p>
            <w:r/>
            <w:r>
              <w:rPr>
                <w:b/>
              </w:rPr>
              <w:t>Status</w:t>
            </w:r>
          </w:p>
        </w:tc>
        <w:tc>
          <w:tcPr>
            <w:tcW w:type="dxa" w:w="2160"/>
            <w:shd w:val="clear" w:color="auto" w:fill="D9E2F3"/>
          </w:tcPr>
          <w:p>
            <w:r/>
            <w:r>
              <w:rPr>
                <w:b/>
              </w:rPr>
              <w:t>Risk</w:t>
            </w:r>
          </w:p>
        </w:tc>
      </w:tr>
      <w:tr>
        <w:tc>
          <w:tcPr>
            <w:tcW w:type="dxa" w:w="2160"/>
          </w:tcPr>
          <w:p>
            <w:r/>
            <w:r>
              <w:rPr/>
              <w:t>ATTR-CM / AL detection on TTE</w:t>
            </w:r>
          </w:p>
        </w:tc>
        <w:tc>
          <w:tcPr>
            <w:tcW w:type="dxa" w:w="2160"/>
          </w:tcPr>
          <w:p>
            <w:r/>
            <w:r>
              <w:rPr/>
              <w:t>510(k)</w:t>
            </w:r>
          </w:p>
        </w:tc>
        <w:tc>
          <w:tcPr>
            <w:tcW w:type="dxa" w:w="2160"/>
          </w:tcPr>
          <w:p>
            <w:r/>
            <w:r>
              <w:rPr>
                <w:b/>
              </w:rPr>
              <w:t>Cleared 2024</w:t>
            </w:r>
            <w:r>
              <w:rPr/>
              <w:t xml:space="preserve"> (predicate: Ultromics EchoGo Pro)</w:t>
            </w:r>
          </w:p>
        </w:tc>
        <w:tc>
          <w:tcPr>
            <w:tcW w:type="dxa" w:w="2160"/>
          </w:tcPr>
          <w:p>
            <w:r/>
            <w:r>
              <w:rPr/>
              <w:t>Low — operating within cleared indication</w:t>
            </w:r>
          </w:p>
        </w:tc>
      </w:tr>
      <w:tr>
        <w:tc>
          <w:tcPr>
            <w:tcW w:type="dxa" w:w="2160"/>
          </w:tcPr>
          <w:p>
            <w:r/>
            <w:r>
              <w:rPr/>
              <w:t>Auto-strain (GLS)</w:t>
            </w:r>
          </w:p>
        </w:tc>
        <w:tc>
          <w:tcPr>
            <w:tcW w:type="dxa" w:w="2160"/>
          </w:tcPr>
          <w:p>
            <w:r/>
            <w:r>
              <w:rPr/>
              <w:t>De Novo</w:t>
            </w:r>
          </w:p>
        </w:tc>
        <w:tc>
          <w:tcPr>
            <w:tcW w:type="dxa" w:w="2160"/>
          </w:tcPr>
          <w:p>
            <w:r/>
            <w:r>
              <w:rPr/>
              <w:t>Submission active; FY26 expected</w:t>
            </w:r>
          </w:p>
        </w:tc>
        <w:tc>
          <w:tcPr>
            <w:tcW w:type="dxa" w:w="2160"/>
          </w:tcPr>
          <w:p>
            <w:r/>
            <w:r>
              <w:rPr/>
              <w:t>Moderate — De Novo timelines slipped industry-wide in 2024–2025</w:t>
            </w:r>
          </w:p>
        </w:tc>
      </w:tr>
      <w:tr>
        <w:tc>
          <w:tcPr>
            <w:tcW w:type="dxa" w:w="2160"/>
          </w:tcPr>
          <w:p>
            <w:r/>
            <w:r>
              <w:rPr/>
              <w:t>Auto-EF</w:t>
            </w:r>
          </w:p>
        </w:tc>
        <w:tc>
          <w:tcPr>
            <w:tcW w:type="dxa" w:w="2160"/>
          </w:tcPr>
          <w:p>
            <w:r/>
            <w:r>
              <w:rPr/>
              <w:t>510(k)</w:t>
            </w:r>
          </w:p>
        </w:tc>
        <w:tc>
          <w:tcPr>
            <w:tcW w:type="dxa" w:w="2160"/>
          </w:tcPr>
          <w:p>
            <w:r/>
            <w:r>
              <w:rPr/>
              <w:t>Cleared 2024</w:t>
            </w:r>
          </w:p>
        </w:tc>
        <w:tc>
          <w:tcPr>
            <w:tcW w:type="dxa" w:w="2160"/>
          </w:tcPr>
          <w:p>
            <w:r/>
            <w:r>
              <w:rPr/>
              <w:t>Low</w:t>
            </w:r>
          </w:p>
        </w:tc>
      </w:tr>
      <w:tr>
        <w:tc>
          <w:tcPr>
            <w:tcW w:type="dxa" w:w="2160"/>
          </w:tcPr>
          <w:p>
            <w:r/>
            <w:r>
              <w:rPr/>
              <w:t>Cardio-oncology module</w:t>
            </w:r>
          </w:p>
        </w:tc>
        <w:tc>
          <w:tcPr>
            <w:tcW w:type="dxa" w:w="2160"/>
          </w:tcPr>
          <w:p>
            <w:r/>
            <w:r>
              <w:rPr/>
              <w:t>TBD (likely 510(k) with predicate)</w:t>
            </w:r>
          </w:p>
        </w:tc>
        <w:tc>
          <w:tcPr>
            <w:tcW w:type="dxa" w:w="2160"/>
          </w:tcPr>
          <w:p>
            <w:r/>
            <w:r>
              <w:rPr/>
              <w:t>Pre-submission</w:t>
            </w:r>
          </w:p>
        </w:tc>
        <w:tc>
          <w:tcPr>
            <w:tcW w:type="dxa" w:w="2160"/>
          </w:tcPr>
          <w:p>
            <w:r/>
            <w:r>
              <w:rPr/>
              <w:t>Moderate</w:t>
            </w:r>
          </w:p>
        </w:tc>
      </w:tr>
      <w:tr>
        <w:tc>
          <w:tcPr>
            <w:tcW w:type="dxa" w:w="2160"/>
          </w:tcPr>
          <w:p>
            <w:r/>
            <w:r>
              <w:rPr/>
              <w:t>Valvular module</w:t>
            </w:r>
          </w:p>
        </w:tc>
        <w:tc>
          <w:tcPr>
            <w:tcW w:type="dxa" w:w="2160"/>
          </w:tcPr>
          <w:p>
            <w:r/>
            <w:r>
              <w:rPr/>
              <w:t>TBD</w:t>
            </w:r>
          </w:p>
        </w:tc>
        <w:tc>
          <w:tcPr>
            <w:tcW w:type="dxa" w:w="2160"/>
          </w:tcPr>
          <w:p>
            <w:r/>
            <w:r>
              <w:rPr/>
              <w:t>R&amp;D</w:t>
            </w:r>
          </w:p>
        </w:tc>
        <w:tc>
          <w:tcPr>
            <w:tcW w:type="dxa" w:w="2160"/>
          </w:tcPr>
          <w:p>
            <w:r/>
            <w:r>
              <w:rPr/>
              <w:t>Moderate</w:t>
            </w:r>
          </w:p>
        </w:tc>
      </w:tr>
    </w:tbl>
    <w:p>
      <w:r>
        <w:rPr>
          <w:b/>
        </w:rPr>
        <w:t>Predicate/De Novo risk register:</w:t>
      </w:r>
    </w:p>
    <w:p>
      <w:pPr>
        <w:pStyle w:val="ListBullet"/>
      </w:pPr>
      <w:r>
        <w:rPr/>
        <w:t xml:space="preserve">The </w:t>
      </w:r>
      <w:r>
        <w:rPr>
          <w:b/>
        </w:rPr>
        <w:t>De Novo for auto-strain</w:t>
      </w:r>
      <w:r>
        <w:rPr/>
        <w:t xml:space="preserve"> is the gating regulatory event for the next 18 months. A 510(k) fallback (using TomTec/EchoInsight predicates) is being maintained as a parallel path; loss of the De Novo would not block the strain module from market, but would constrain labeling to non-novel claims.</w:t>
      </w:r>
    </w:p>
    <w:p>
      <w:pPr>
        <w:pStyle w:val="ListBullet"/>
      </w:pPr>
      <w:r>
        <w:rPr>
          <w:b/>
        </w:rPr>
        <w:t>Algorithm change control.</w:t>
      </w:r>
      <w:r>
        <w:rPr/>
        <w:t xml:space="preserve"> HealthCo operates under a Predetermined Change Control Plan (PCCP) consistent with FDA's 2023 final guidance on PCCPs for AI/ML-enabled device software functions. This is a meaningful operational asset and reduces re-submission burden for model updates.</w:t>
      </w:r>
    </w:p>
    <w:p>
      <w:pPr>
        <w:pStyle w:val="ListBullet"/>
      </w:pPr>
      <w:r>
        <w:rPr>
          <w:b/>
        </w:rPr>
        <w:t>Post-market surveillance.</w:t>
      </w:r>
      <w:r>
        <w:rPr/>
        <w:t xml:space="preserve"> Real-world performance monitoring is in place across all seven pilot sites with aggregated drift detection. No safety signals to date.</w:t>
      </w:r>
    </w:p>
    <w:p>
      <w:pPr>
        <w:pBdr>
          <w:bottom w:val="single" w:sz="6" w:space="1" w:color="808080"/>
        </w:pBdr>
      </w:pPr>
    </w:p>
    <w:p>
      <w:pPr>
        <w:pStyle w:val="Heading1"/>
      </w:pPr>
      <w:r/>
      <w:r>
        <w:rPr/>
        <w:t>7. Team</w:t>
      </w:r>
    </w:p>
    <w:p>
      <w:r>
        <w:rPr>
          <w:b/>
        </w:rPr>
        <w:t>Founders &amp; senior leadership</w:t>
      </w:r>
    </w:p>
    <w:p>
      <w:pPr>
        <w:pStyle w:val="ListBullet"/>
      </w:pPr>
      <w:r>
        <w:rPr>
          <w:b/>
        </w:rPr>
        <w:t>Dr. Maya Chen, MD/PhD — CEO and co-founder.</w:t>
      </w:r>
      <w:r>
        <w:rPr/>
        <w:t xml:space="preserve"> Cardiology imaging research at Massachusetts General Hospital prior to founding. Board-certified cardiologist with subspecialty training in cardiovascular imaging. Lead author on the </w:t>
      </w:r>
      <w:r>
        <w:rPr>
          <w:i/>
        </w:rPr>
        <w:t>JACC: Cardiovascular Imaging</w:t>
      </w:r>
      <w:r>
        <w:rPr/>
        <w:t xml:space="preserve"> (2025) validation publication. Clinical and scientific credibility with KOLs is a significant asset.</w:t>
      </w:r>
    </w:p>
    <w:p>
      <w:pPr>
        <w:pStyle w:val="ListBullet"/>
      </w:pPr>
      <w:r>
        <w:rPr>
          <w:b/>
        </w:rPr>
        <w:t>Dr. Raj Iyer, PhD — CTO and co-founder.</w:t>
      </w:r>
      <w:r>
        <w:rPr/>
        <w:t xml:space="preserve"> ML PhD, MIT. Prior senior ML role at Hinge Health on imaging/computer-vision systems. Architected the EchoPilot training pipeline and PCCP framework.</w:t>
      </w:r>
    </w:p>
    <w:p>
      <w:pPr>
        <w:pStyle w:val="ListBullet"/>
      </w:pPr>
      <w:r>
        <w:rPr>
          <w:b/>
        </w:rPr>
        <w:t>Sarah Whittaker — COO.</w:t>
      </w:r>
      <w:r>
        <w:rPr/>
        <w:t xml:space="preserve"> Prior commercial leadership at Heartflow (GTM into IDN cardiology service lines). Brings the playbook for selling clinically-validated cardiology software into U.S. health systems — the most directly transferable prior experience available in the market.</w:t>
      </w:r>
    </w:p>
    <w:p>
      <w:r>
        <w:rPr>
          <w:b/>
        </w:rPr>
        <w:t>KOL Advisory Board (publicly named in research and on the company website)</w:t>
      </w:r>
    </w:p>
    <w:p>
      <w:pPr>
        <w:pStyle w:val="ListBullet"/>
      </w:pPr>
      <w:r>
        <w:rPr/>
        <w:t>A senior amyloidosis specialist from a major academic medical center</w:t>
      </w:r>
    </w:p>
    <w:p>
      <w:pPr>
        <w:pStyle w:val="ListBullet"/>
      </w:pPr>
      <w:r>
        <w:rPr/>
        <w:t>A nationally-recognized cardiac imaging KOL</w:t>
      </w:r>
    </w:p>
    <w:p>
      <w:pPr>
        <w:pStyle w:val="ListBullet"/>
      </w:pPr>
      <w:r>
        <w:rPr/>
        <w:t>A health-economics researcher focused on cardiac AI</w:t>
      </w:r>
    </w:p>
    <w:p>
      <w:r>
        <w:rPr>
          <w:b/>
        </w:rPr>
        <w:t>Team gaps the round addresses</w:t>
      </w:r>
    </w:p>
    <w:p>
      <w:pPr>
        <w:pStyle w:val="ListBullet"/>
      </w:pPr>
      <w:r>
        <w:rPr>
          <w:b/>
        </w:rPr>
        <w:t>VP Regulatory.</w:t>
      </w:r>
      <w:r>
        <w:rPr/>
        <w:t xml:space="preserve"> The De Novo submission is being run by a fractional regulatory consultant. We view bringing this in-house as a near-term hire.</w:t>
      </w:r>
    </w:p>
    <w:p>
      <w:pPr>
        <w:pStyle w:val="ListBullet"/>
      </w:pPr>
      <w:r>
        <w:rPr>
          <w:b/>
        </w:rPr>
        <w:t>VP Marketing / Medical Affairs.</w:t>
      </w:r>
      <w:r>
        <w:rPr/>
        <w:t xml:space="preserve"> Amyloidosis education and KOL programming are currently CEO-led. As the team scales, this is unsustainable.</w:t>
      </w:r>
    </w:p>
    <w:p>
      <w:pPr>
        <w:pStyle w:val="ListBullet"/>
      </w:pPr>
      <w:r>
        <w:rPr>
          <w:b/>
        </w:rPr>
        <w:t>Chief Medical Officer.</w:t>
      </w:r>
      <w:r>
        <w:rPr/>
        <w:t xml:space="preserve"> Optional but increasingly a buyer expectation at the IDN executive level. Not a Series A blocker; we expect this hire in the back half of the runway.</w:t>
      </w:r>
    </w:p>
    <w:p>
      <w:pPr>
        <w:pBdr>
          <w:bottom w:val="single" w:sz="6" w:space="1" w:color="808080"/>
        </w:pBdr>
      </w:pPr>
    </w:p>
    <w:p>
      <w:pPr>
        <w:pStyle w:val="Heading1"/>
      </w:pPr>
      <w:r/>
      <w:r>
        <w:rPr/>
        <w:t>8. Traction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Metric</w:t>
            </w:r>
          </w:p>
        </w:tc>
        <w:tc>
          <w:tcPr>
            <w:tcW w:type="dxa" w:w="2880"/>
            <w:shd w:val="clear" w:color="auto" w:fill="D9E2F3"/>
          </w:tcPr>
          <w:p>
            <w:r/>
            <w:r>
              <w:rPr>
                <w:b/>
              </w:rPr>
              <w:t>Value</w:t>
            </w:r>
          </w:p>
        </w:tc>
        <w:tc>
          <w:tcPr>
            <w:tcW w:type="dxa" w:w="2880"/>
            <w:shd w:val="clear" w:color="auto" w:fill="D9E2F3"/>
          </w:tcPr>
          <w:p>
            <w:r/>
            <w:r>
              <w:rPr>
                <w:b/>
              </w:rPr>
              <w:t>Notes</w:t>
            </w:r>
          </w:p>
        </w:tc>
      </w:tr>
      <w:tr>
        <w:tc>
          <w:tcPr>
            <w:tcW w:type="dxa" w:w="2880"/>
          </w:tcPr>
          <w:p>
            <w:r/>
            <w:r>
              <w:rPr/>
              <w:t>Pilot health system customers</w:t>
            </w:r>
          </w:p>
        </w:tc>
        <w:tc>
          <w:tcPr>
            <w:tcW w:type="dxa" w:w="2880"/>
          </w:tcPr>
          <w:p>
            <w:r/>
            <w:r>
              <w:rPr/>
              <w:t>7</w:t>
            </w:r>
          </w:p>
        </w:tc>
        <w:tc>
          <w:tcPr>
            <w:tcW w:type="dxa" w:w="2880"/>
          </w:tcPr>
          <w:p>
            <w:r/>
            <w:r>
              <w:rPr/>
              <w:t>MGB, Cleveland Clinic, Mayo, Atrium, Banner, Intermountain, Henry Ford</w:t>
            </w:r>
          </w:p>
        </w:tc>
      </w:tr>
      <w:tr>
        <w:tc>
          <w:tcPr>
            <w:tcW w:type="dxa" w:w="2880"/>
          </w:tcPr>
          <w:p>
            <w:r/>
            <w:r>
              <w:rPr/>
              <w:t>Echos analyzed YTD</w:t>
            </w:r>
          </w:p>
        </w:tc>
        <w:tc>
          <w:tcPr>
            <w:tcW w:type="dxa" w:w="2880"/>
          </w:tcPr>
          <w:p>
            <w:r/>
            <w:r>
              <w:rPr/>
              <w:t>18,000</w:t>
            </w:r>
          </w:p>
        </w:tc>
        <w:tc>
          <w:tcPr>
            <w:tcW w:type="dxa" w:w="2880"/>
          </w:tcPr>
          <w:p>
            <w:r/>
            <w:r>
              <w:rPr/>
              <w:t>Cumulative through Q1 2026</w:t>
            </w:r>
          </w:p>
        </w:tc>
      </w:tr>
      <w:tr>
        <w:tc>
          <w:tcPr>
            <w:tcW w:type="dxa" w:w="2880"/>
          </w:tcPr>
          <w:p>
            <w:r/>
            <w:r>
              <w:rPr/>
              <w:t>Peer-reviewed publications</w:t>
            </w:r>
          </w:p>
        </w:tc>
        <w:tc>
          <w:tcPr>
            <w:tcW w:type="dxa" w:w="2880"/>
          </w:tcPr>
          <w:p>
            <w:r/>
            <w:r>
              <w:rPr/>
              <w:t>1</w:t>
            </w:r>
          </w:p>
        </w:tc>
        <w:tc>
          <w:tcPr>
            <w:tcW w:type="dxa" w:w="2880"/>
          </w:tcPr>
          <w:p>
            <w:r/>
            <w:r>
              <w:rPr>
                <w:i/>
              </w:rPr>
              <w:t>JACC: Cardiovascular Imaging</w:t>
            </w:r>
            <w:r>
              <w:rPr/>
              <w:t>, 2025</w:t>
            </w:r>
          </w:p>
        </w:tc>
      </w:tr>
      <w:tr>
        <w:tc>
          <w:tcPr>
            <w:tcW w:type="dxa" w:w="2880"/>
          </w:tcPr>
          <w:p>
            <w:r/>
            <w:r>
              <w:rPr/>
              <w:t>KOL advisors</w:t>
            </w:r>
          </w:p>
        </w:tc>
        <w:tc>
          <w:tcPr>
            <w:tcW w:type="dxa" w:w="2880"/>
          </w:tcPr>
          <w:p>
            <w:r/>
            <w:r>
              <w:rPr/>
              <w:t>3</w:t>
            </w:r>
          </w:p>
        </w:tc>
        <w:tc>
          <w:tcPr>
            <w:tcW w:type="dxa" w:w="2880"/>
          </w:tcPr>
          <w:p>
            <w:r/>
            <w:r>
              <w:rPr/>
              <w:t>Named on advisory board</w:t>
            </w:r>
          </w:p>
        </w:tc>
      </w:tr>
      <w:tr>
        <w:tc>
          <w:tcPr>
            <w:tcW w:type="dxa" w:w="2880"/>
          </w:tcPr>
          <w:p>
            <w:r/>
            <w:r>
              <w:rPr/>
              <w:t>FDA clearances</w:t>
            </w:r>
          </w:p>
        </w:tc>
        <w:tc>
          <w:tcPr>
            <w:tcW w:type="dxa" w:w="2880"/>
          </w:tcPr>
          <w:p>
            <w:r/>
            <w:r>
              <w:rPr/>
              <w:t>1 (510(k), 2024)</w:t>
            </w:r>
          </w:p>
        </w:tc>
        <w:tc>
          <w:tcPr>
            <w:tcW w:type="dxa" w:w="2880"/>
          </w:tcPr>
          <w:p>
            <w:r/>
            <w:r>
              <w:rPr/>
              <w:t>ATTR-CM/AL detection + auto-EF</w:t>
            </w:r>
          </w:p>
        </w:tc>
      </w:tr>
      <w:tr>
        <w:tc>
          <w:tcPr>
            <w:tcW w:type="dxa" w:w="2880"/>
          </w:tcPr>
          <w:p>
            <w:r/>
            <w:r>
              <w:rPr/>
              <w:t>Commercial contracts in active negotiation</w:t>
            </w:r>
          </w:p>
        </w:tc>
        <w:tc>
          <w:tcPr>
            <w:tcW w:type="dxa" w:w="2880"/>
          </w:tcPr>
          <w:p>
            <w:r/>
            <w:r>
              <w:rPr/>
              <w:t>Not disclosed in this memo</w:t>
            </w:r>
          </w:p>
        </w:tc>
        <w:tc>
          <w:tcPr>
            <w:tcW w:type="dxa" w:w="2880"/>
          </w:tcPr>
          <w:p>
            <w:r/>
            <w:r>
              <w:rPr/>
              <w:t>Available under NDA in the data room</w:t>
            </w:r>
          </w:p>
        </w:tc>
      </w:tr>
    </w:tbl>
    <w:p>
      <w:r>
        <w:rPr/>
        <w:t>The pilot site list is unusually strong for a Series A — this is a roster more typical of a Series B in this category — and reflects Dr. Chen's pre-existing academic relationships and the strength of the clinical narrative. The conversion question is whether pilot status converts to enterprise contracts at the price points required for the unit economics to work, which is the central commercial bet of this round.</w:t>
      </w:r>
    </w:p>
    <w:p>
      <w:pPr>
        <w:pBdr>
          <w:bottom w:val="single" w:sz="6" w:space="1" w:color="808080"/>
        </w:pBdr>
      </w:pPr>
    </w:p>
    <w:p>
      <w:pPr>
        <w:pStyle w:val="Heading1"/>
      </w:pPr>
      <w:r/>
      <w:r>
        <w:rPr/>
        <w:t>9. Financials &amp; Use of Funds</w:t>
      </w:r>
    </w:p>
    <w:p>
      <w:r>
        <w:rPr>
          <w:b/>
        </w:rPr>
        <w:t>Burn and runway</w:t>
      </w:r>
    </w:p>
    <w:p>
      <w:pPr>
        <w:pStyle w:val="ListBullet"/>
      </w:pPr>
      <w:r>
        <w:rPr/>
        <w:t>Average monthly burn (LTM): $475K</w:t>
      </w:r>
    </w:p>
    <w:p>
      <w:pPr>
        <w:pStyle w:val="ListBullet"/>
      </w:pPr>
      <w:r>
        <w:rPr/>
        <w:t>Cash runway pre-raise: ~24 months</w:t>
      </w:r>
    </w:p>
    <w:p>
      <w:pPr>
        <w:pStyle w:val="ListBullet"/>
      </w:pPr>
      <w:r>
        <w:rPr/>
        <w:t>Cash runway post-raise: ~30 months at projected scale-up burn</w:t>
      </w:r>
    </w:p>
    <w:p>
      <w:pPr>
        <w:pStyle w:val="ListBullet"/>
      </w:pPr>
      <w:r>
        <w:rPr/>
        <w:t xml:space="preserve">Gross margin target at scale: </w:t>
      </w:r>
      <w:r>
        <w:rPr>
          <w:b/>
        </w:rPr>
        <w:t>25%+</w:t>
      </w:r>
      <w:r>
        <w:rPr/>
        <w:t>, with pathway to 50%+ as enterprise contracts replace per-study fees and infrastructure costs amortize</w:t>
      </w:r>
    </w:p>
    <w:p>
      <w:r>
        <w:rPr>
          <w:b/>
        </w:rPr>
        <w:t>Use of $15M proceeds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Bucket</w:t>
            </w:r>
          </w:p>
        </w:tc>
        <w:tc>
          <w:tcPr>
            <w:tcW w:type="dxa" w:w="2880"/>
            <w:shd w:val="clear" w:color="auto" w:fill="D9E2F3"/>
          </w:tcPr>
          <w:p>
            <w:r/>
            <w:r>
              <w:rPr>
                <w:b/>
              </w:rPr>
              <w:t>Amount</w:t>
            </w:r>
          </w:p>
        </w:tc>
        <w:tc>
          <w:tcPr>
            <w:tcW w:type="dxa" w:w="2880"/>
            <w:shd w:val="clear" w:color="auto" w:fill="D9E2F3"/>
          </w:tcPr>
          <w:p>
            <w:r/>
            <w:r>
              <w:rPr>
                <w:b/>
              </w:rPr>
              <w:t>Milestone tied</w:t>
            </w:r>
          </w:p>
        </w:tc>
      </w:tr>
      <w:tr>
        <w:tc>
          <w:tcPr>
            <w:tcW w:type="dxa" w:w="2880"/>
          </w:tcPr>
          <w:p>
            <w:r/>
            <w:r>
              <w:rPr/>
              <w:t>Sales &amp; Marketing expansion</w:t>
            </w:r>
          </w:p>
        </w:tc>
        <w:tc>
          <w:tcPr>
            <w:tcW w:type="dxa" w:w="2880"/>
          </w:tcPr>
          <w:p>
            <w:r/>
            <w:r>
              <w:rPr/>
              <w:t>$6.0M</w:t>
            </w:r>
          </w:p>
        </w:tc>
        <w:tc>
          <w:tcPr>
            <w:tcW w:type="dxa" w:w="2880"/>
          </w:tcPr>
          <w:p>
            <w:r/>
            <w:r>
              <w:rPr/>
              <w:t>20+ enterprise contracts; named CV strategic partnership</w:t>
            </w:r>
          </w:p>
        </w:tc>
      </w:tr>
      <w:tr>
        <w:tc>
          <w:tcPr>
            <w:tcW w:type="dxa" w:w="2880"/>
          </w:tcPr>
          <w:p>
            <w:r/>
            <w:r>
              <w:rPr/>
              <w:t>R&amp;D — next algorithms</w:t>
            </w:r>
          </w:p>
        </w:tc>
        <w:tc>
          <w:tcPr>
            <w:tcW w:type="dxa" w:w="2880"/>
          </w:tcPr>
          <w:p>
            <w:r/>
            <w:r>
              <w:rPr/>
              <w:t>$4.0M</w:t>
            </w:r>
          </w:p>
        </w:tc>
        <w:tc>
          <w:tcPr>
            <w:tcW w:type="dxa" w:w="2880"/>
          </w:tcPr>
          <w:p>
            <w:r/>
            <w:r>
              <w:rPr/>
              <w:t>Cardio-oncology pre-submission; valvular module IP filings</w:t>
            </w:r>
          </w:p>
        </w:tc>
      </w:tr>
      <w:tr>
        <w:tc>
          <w:tcPr>
            <w:tcW w:type="dxa" w:w="2880"/>
          </w:tcPr>
          <w:p>
            <w:r/>
            <w:r>
              <w:rPr/>
              <w:t>Clinical — registrational study for De Novo</w:t>
            </w:r>
          </w:p>
        </w:tc>
        <w:tc>
          <w:tcPr>
            <w:tcW w:type="dxa" w:w="2880"/>
          </w:tcPr>
          <w:p>
            <w:r/>
            <w:r>
              <w:rPr/>
              <w:t>$2.0M</w:t>
            </w:r>
          </w:p>
        </w:tc>
        <w:tc>
          <w:tcPr>
            <w:tcW w:type="dxa" w:w="2880"/>
          </w:tcPr>
          <w:p>
            <w:r/>
            <w:r>
              <w:rPr/>
              <w:t>Auto-strain De Novo clearance; 2nd peer-reviewed publication</w:t>
            </w:r>
          </w:p>
        </w:tc>
      </w:tr>
      <w:tr>
        <w:tc>
          <w:tcPr>
            <w:tcW w:type="dxa" w:w="2880"/>
          </w:tcPr>
          <w:p>
            <w:r/>
            <w:r>
              <w:rPr/>
              <w:t>G&amp;A — VP Regulatory, VP Medical Affairs, finance scale-up</w:t>
            </w:r>
          </w:p>
        </w:tc>
        <w:tc>
          <w:tcPr>
            <w:tcW w:type="dxa" w:w="2880"/>
          </w:tcPr>
          <w:p>
            <w:r/>
            <w:r>
              <w:rPr/>
              <w:t>$2.0M</w:t>
            </w:r>
          </w:p>
        </w:tc>
        <w:tc>
          <w:tcPr>
            <w:tcW w:type="dxa" w:w="2880"/>
          </w:tcPr>
          <w:p>
            <w:r/>
            <w:r>
              <w:rPr/>
              <w:t>Hires closed</w:t>
            </w:r>
          </w:p>
        </w:tc>
      </w:tr>
      <w:tr>
        <w:tc>
          <w:tcPr>
            <w:tcW w:type="dxa" w:w="2880"/>
          </w:tcPr>
          <w:p>
            <w:r/>
            <w:r>
              <w:rPr/>
              <w:t>Working capital</w:t>
            </w:r>
          </w:p>
        </w:tc>
        <w:tc>
          <w:tcPr>
            <w:tcW w:type="dxa" w:w="2880"/>
          </w:tcPr>
          <w:p>
            <w:r/>
            <w:r>
              <w:rPr/>
              <w:t>$1.0M</w:t>
            </w:r>
          </w:p>
        </w:tc>
        <w:tc>
          <w:tcPr>
            <w:tcW w:type="dxa" w:w="2880"/>
          </w:tcPr>
          <w:p>
            <w:r/>
            <w:r>
              <w:rPr/>
              <w:t>—</w:t>
            </w:r>
          </w:p>
        </w:tc>
      </w:tr>
    </w:tbl>
    <w:p>
      <w:r>
        <w:rPr>
          <w:b/>
        </w:rPr>
        <w:t>Comparable round context:</w:t>
      </w:r>
      <w:r>
        <w:rPr/>
        <w:t xml:space="preserve"> Ultromics' 2024 Series B (~$36M) and Us2.ai's 2024 Series B (~$40M) provide the most direct external benchmarks. HealthCo's $50M pre-money Series A is below those Series B comparables on a stage-adjusted basis, with what we consider a stronger clinical wedge (regulatory-cleared disease detection vs. measurement automation) and a more disciplined burn profile.</w:t>
      </w:r>
    </w:p>
    <w:p>
      <w:pPr>
        <w:pBdr>
          <w:bottom w:val="single" w:sz="6" w:space="1" w:color="808080"/>
        </w:pBdr>
      </w:pPr>
    </w:p>
    <w:p>
      <w:pPr>
        <w:pStyle w:val="Heading1"/>
      </w:pPr>
      <w:r/>
      <w:r>
        <w:rPr/>
        <w:t>10. The Ask</w:t>
      </w:r>
    </w:p>
    <w:p>
      <w:r>
        <w:rPr>
          <w:b/>
        </w:rPr>
        <w:t>Round structure</w:t>
      </w:r>
    </w:p>
    <w:p>
      <w:pPr>
        <w:pStyle w:val="ListBullet"/>
      </w:pPr>
      <w:r>
        <w:rPr/>
        <w:t>$15.0M Series A</w:t>
      </w:r>
    </w:p>
    <w:p>
      <w:pPr>
        <w:pStyle w:val="ListBullet"/>
      </w:pPr>
      <w:r>
        <w:rPr/>
        <w:t>$50.0M pre-money / $65.0M post-money</w:t>
      </w:r>
    </w:p>
    <w:p>
      <w:pPr>
        <w:pStyle w:val="ListBullet"/>
      </w:pPr>
      <w:r>
        <w:rPr/>
        <w:t>Lead investor expected to take a meaningful pro-rata position; co-investors welcome</w:t>
      </w:r>
    </w:p>
    <w:p>
      <w:pPr>
        <w:pStyle w:val="ListBullet"/>
      </w:pPr>
      <w:r>
        <w:rPr/>
        <w:t>Standard preferred stock terms; no unusual founder protections; details in the term sheet under negotiation</w:t>
      </w:r>
    </w:p>
    <w:p>
      <w:r>
        <w:rPr>
          <w:b/>
        </w:rPr>
        <w:t>Lead profile sought</w:t>
      </w:r>
    </w:p>
    <w:p>
      <w:pPr>
        <w:pStyle w:val="ListBullet"/>
      </w:pPr>
      <w:r>
        <w:rPr/>
        <w:t xml:space="preserve">Demonstrated portfolio in </w:t>
      </w:r>
      <w:r>
        <w:rPr>
          <w:b/>
        </w:rPr>
        <w:t>healthcare imaging AI or cardiology software</w:t>
      </w:r>
    </w:p>
    <w:p>
      <w:pPr>
        <w:pStyle w:val="ListBullet"/>
      </w:pPr>
      <w:r>
        <w:rPr/>
        <w:t>Comfort with regulatory- and reimbursement-driven commercial trajectories</w:t>
      </w:r>
    </w:p>
    <w:p>
      <w:pPr>
        <w:pStyle w:val="ListBullet"/>
      </w:pPr>
      <w:r>
        <w:rPr/>
        <w:t xml:space="preserve">Capacity for </w:t>
      </w:r>
      <w:r>
        <w:rPr>
          <w:b/>
        </w:rPr>
        <w:t>board seat</w:t>
      </w:r>
      <w:r>
        <w:rPr/>
        <w:t xml:space="preserve"> and active strategic engagement</w:t>
      </w:r>
    </w:p>
    <w:p>
      <w:pPr>
        <w:pStyle w:val="ListBullet"/>
      </w:pPr>
      <w:r>
        <w:rPr/>
        <w:t xml:space="preserve">Network into </w:t>
      </w:r>
      <w:r>
        <w:rPr>
          <w:b/>
        </w:rPr>
        <w:t>large U.S. IDNs</w:t>
      </w:r>
      <w:r>
        <w:rPr/>
        <w:t xml:space="preserve"> at the cardiology service-line and CMIO levels</w:t>
      </w:r>
    </w:p>
    <w:p>
      <w:pPr>
        <w:pStyle w:val="ListBullet"/>
      </w:pPr>
      <w:r>
        <w:rPr/>
        <w:t xml:space="preserve">Relationships with </w:t>
      </w:r>
      <w:r>
        <w:rPr>
          <w:b/>
        </w:rPr>
        <w:t>cardiovascular strategics</w:t>
      </w:r>
      <w:r>
        <w:rPr/>
        <w:t xml:space="preserve"> — particularly Pfizer's cardio franchise (amyloidosis ecosystem partner), Edwards Lifesciences (structural heart), BD, and Medtronic Structural Heart Disease</w:t>
      </w:r>
    </w:p>
    <w:p>
      <w:r>
        <w:rPr>
          <w:b/>
        </w:rPr>
        <w:t>What we are not asking the lead to provide</w:t>
      </w:r>
    </w:p>
    <w:p>
      <w:pPr>
        <w:pStyle w:val="ListBullet"/>
      </w:pPr>
      <w:r>
        <w:rPr/>
        <w:t>We are not relying on the lead for clinical validation. That is the founders' and KOLs' lane.</w:t>
      </w:r>
    </w:p>
    <w:p>
      <w:pPr>
        <w:pStyle w:val="ListBullet"/>
      </w:pPr>
      <w:r>
        <w:rPr/>
        <w:t>We are not relying on the lead to underwrite reimbursement risk. Our commercial model works (with longer cycles) under continued case-by-case payment.</w:t>
      </w:r>
    </w:p>
    <w:p>
      <w:pPr>
        <w:pBdr>
          <w:bottom w:val="single" w:sz="6" w:space="1" w:color="808080"/>
        </w:pBdr>
      </w:pPr>
    </w:p>
    <w:p>
      <w:pPr>
        <w:pStyle w:val="Heading1"/>
      </w:pPr>
      <w:r/>
      <w:r>
        <w:rPr/>
        <w:t>11. Risks &amp; Mitigations</w:t>
      </w:r>
    </w:p>
    <w:p>
      <w:r>
        <w:rPr/>
        <w:t>We address the risks we believe a sophisticated healthcare investor will raise, in the order we believe they matter.</w:t>
      </w:r>
    </w:p>
    <w:p>
      <w:r>
        <w:rPr>
          <w:b/>
        </w:rPr>
        <w:t>Reimbursement risk — central</w:t>
      </w:r>
      <w:r>
        <w:rPr/>
        <w:t xml:space="preserve"> </w:t>
      </w:r>
      <w:r>
        <w:rPr>
          <w:i/>
        </w:rPr>
        <w:t>Risk:</w:t>
      </w:r>
      <w:r>
        <w:rPr/>
        <w:t xml:space="preserve"> No dedicated echo-AI CPT code today. Commercial payer coverage is uneven. If a Category III code does not issue within ~24 months, ARR per site is constrained. </w:t>
      </w:r>
      <w:r>
        <w:rPr>
          <w:i/>
        </w:rPr>
        <w:t>Mitigation:</w:t>
      </w:r>
      <w:r>
        <w:rPr/>
        <w:t xml:space="preserve"> Active CPT coalition participation; ROI-based enterprise sales motion that does not require payer reimbursement; pharma-partnered screening programs as a bridge revenue line; case-by-case commercial coverage already secured at multiple pilots. We are honest that this is the largest external dependency.</w:t>
      </w:r>
    </w:p>
    <w:p>
      <w:r>
        <w:rPr>
          <w:b/>
        </w:rPr>
        <w:t>Competitive risk</w:t>
      </w:r>
      <w:r>
        <w:rPr/>
        <w:t xml:space="preserve"> </w:t>
      </w:r>
      <w:r>
        <w:rPr>
          <w:i/>
        </w:rPr>
        <w:t>Risk:</w:t>
      </w:r>
      <w:r>
        <w:rPr/>
        <w:t xml:space="preserve"> Ultromics or Us2.ai add a competitive amyloidosis module. GE (Caption) or Philips (DiA) leverage installed-base distribution. </w:t>
      </w:r>
      <w:r>
        <w:rPr>
          <w:i/>
        </w:rPr>
        <w:t>Mitigation:</w:t>
      </w:r>
      <w:r>
        <w:rPr/>
        <w:t xml:space="preserve"> Disease-detection clinical narrative is not won by feature parity; it is won by KOL relationships and prospective real-world evidence. HealthCo's publication and IDN footprint are head-starts that compound. Vendor-neutrality is a feature for IDNs running mixed Philips/GE/Siemens fleets.</w:t>
      </w:r>
    </w:p>
    <w:p>
      <w:r>
        <w:rPr>
          <w:b/>
        </w:rPr>
        <w:t>Regulatory risk</w:t>
      </w:r>
      <w:r>
        <w:rPr/>
        <w:t xml:space="preserve"> </w:t>
      </w:r>
      <w:r>
        <w:rPr>
          <w:i/>
        </w:rPr>
        <w:t>Risk:</w:t>
      </w:r>
      <w:r>
        <w:rPr/>
        <w:t xml:space="preserve"> De Novo for auto-strain slips beyond FY26; FDA tightens PCCP expectations. </w:t>
      </w:r>
      <w:r>
        <w:rPr>
          <w:i/>
        </w:rPr>
        <w:t>Mitigation:</w:t>
      </w:r>
      <w:r>
        <w:rPr/>
        <w:t xml:space="preserve"> 510(k) parallel path maintained; PCCP already aligned to 2023 final guidance; revenue today does not depend on the strain module being cleared.</w:t>
      </w:r>
    </w:p>
    <w:p>
      <w:r>
        <w:rPr>
          <w:b/>
        </w:rPr>
        <w:t>Clinical / model performance risk</w:t>
      </w:r>
      <w:r>
        <w:rPr/>
        <w:t xml:space="preserve"> </w:t>
      </w:r>
      <w:r>
        <w:rPr>
          <w:i/>
        </w:rPr>
        <w:t>Risk:</w:t>
      </w:r>
      <w:r>
        <w:rPr/>
        <w:t xml:space="preserve"> Real-world performance drift; rare-population underperformance; out-of-distribution failure in a non-pilot setting. </w:t>
      </w:r>
      <w:r>
        <w:rPr>
          <w:i/>
        </w:rPr>
        <w:t>Mitigation:</w:t>
      </w:r>
      <w:r>
        <w:rPr/>
        <w:t xml:space="preserve"> Active post-market surveillance with aggregated drift monitoring; PCCP enables governed updates; clinical advisory board reviews quarterly.</w:t>
      </w:r>
    </w:p>
    <w:p>
      <w:r>
        <w:rPr>
          <w:b/>
        </w:rPr>
        <w:t>Commercial execution risk</w:t>
      </w:r>
      <w:r>
        <w:rPr/>
        <w:t xml:space="preserve"> </w:t>
      </w:r>
      <w:r>
        <w:rPr>
          <w:i/>
        </w:rPr>
        <w:t>Risk:</w:t>
      </w:r>
      <w:r>
        <w:rPr/>
        <w:t xml:space="preserve"> Pilot-to-enterprise conversion is the rate-limiting step for the entire growth model. IDN procurement cycles are long. </w:t>
      </w:r>
      <w:r>
        <w:rPr>
          <w:i/>
        </w:rPr>
        <w:t>Mitigation:</w:t>
      </w:r>
      <w:r>
        <w:rPr/>
        <w:t xml:space="preserve"> COO with directly-relevant Heartflow IDN-cardiology playbook; Series A use of funds explicitly weighted to S&amp;M; conservative SOM model assumes 12–18% IDN penetration over five years.</w:t>
      </w:r>
    </w:p>
    <w:p>
      <w:r>
        <w:rPr>
          <w:b/>
        </w:rPr>
        <w:t>Strategic / acquisition risk</w:t>
      </w:r>
      <w:r>
        <w:rPr/>
        <w:t xml:space="preserve"> </w:t>
      </w:r>
      <w:r>
        <w:rPr>
          <w:i/>
        </w:rPr>
        <w:t>Risk:</w:t>
      </w:r>
      <w:r>
        <w:rPr/>
        <w:t xml:space="preserve"> A strategic acquires a competitor and effectively closes the channel (e.g., Pfizer-funded screening program selects Ultromics). </w:t>
      </w:r>
      <w:r>
        <w:rPr>
          <w:i/>
        </w:rPr>
        <w:t>Mitigation:</w:t>
      </w:r>
      <w:r>
        <w:rPr/>
        <w:t xml:space="preserve"> HealthCo is engaging multiple strategics in parallel; non-exclusive pharma partnerships are the design point; the IDN buyer is independent of pharma channel choices.</w:t>
      </w:r>
    </w:p>
    <w:p>
      <w:r>
        <w:rPr>
          <w:b/>
        </w:rPr>
        <w:t>Concentration risk</w:t>
      </w:r>
      <w:r>
        <w:rPr/>
        <w:t xml:space="preserve"> </w:t>
      </w:r>
      <w:r>
        <w:rPr>
          <w:i/>
        </w:rPr>
        <w:t>Risk:</w:t>
      </w:r>
      <w:r>
        <w:rPr/>
        <w:t xml:space="preserve"> Pilot revenue concentrated across a small number of academic systems. </w:t>
      </w:r>
      <w:r>
        <w:rPr>
          <w:i/>
        </w:rPr>
        <w:t>Mitigation:</w:t>
      </w:r>
      <w:r>
        <w:rPr/>
        <w:t xml:space="preserve"> Atrium, Banner, Intermountain, and Henry Ford are non-academic IDNs and demonstrate cross-segment fit. Ongoing pipeline is weighted toward community IDNs to broaden the base.</w:t>
      </w:r>
    </w:p>
    <w:p>
      <w:pPr>
        <w:pBdr>
          <w:bottom w:val="single" w:sz="6" w:space="1" w:color="808080"/>
        </w:pBdr>
      </w:pPr>
    </w:p>
    <w:p>
      <w:pPr>
        <w:pStyle w:val="Heading1"/>
      </w:pPr>
      <w:r/>
      <w:r>
        <w:rPr/>
        <w:t>12. Conclusion &amp; Next Steps</w:t>
      </w:r>
    </w:p>
    <w:p>
      <w:r>
        <w:rPr/>
        <w:t>HealthCo is a clinically-credentialed, capital-efficient, regulatory-cleared cardiology AI company addressing a disease that became commercially relevant in the last five years and remains substantially underdiagnosed. The technical and clinical risks are well-characterized; the central external risk is reimbursement timing, and the company's commercial model is designed to function under either a fast or slow CPT trajectory. The team is unusually well-matched to the buyer.</w:t>
      </w:r>
    </w:p>
    <w:p>
      <w:r>
        <w:rPr>
          <w:b/>
        </w:rPr>
        <w:t>Suggested next steps for an interested lead:</w:t>
      </w:r>
    </w:p>
    <w:p>
      <w:pPr>
        <w:pStyle w:val="ListNumber"/>
      </w:pPr>
      <w:r>
        <w:rPr/>
        <w:t>Management presentation and product demonstration (~90 minutes)</w:t>
      </w:r>
    </w:p>
    <w:p>
      <w:pPr>
        <w:pStyle w:val="ListNumber"/>
      </w:pPr>
      <w:r>
        <w:rPr/>
        <w:t>KOL reference calls (the company will arrange three on request)</w:t>
      </w:r>
    </w:p>
    <w:p>
      <w:pPr>
        <w:pStyle w:val="ListNumber"/>
      </w:pPr>
      <w:r>
        <w:rPr/>
        <w:t>Pilot-site reference calls (the company will arrange two on request, subject to customer NDA constraints)</w:t>
      </w:r>
    </w:p>
    <w:p>
      <w:pPr>
        <w:pStyle w:val="ListNumber"/>
      </w:pPr>
      <w:r>
        <w:rPr/>
        <w:t>Data room access — registrational dataset summaries, financial detail, regulatory correspondence, contracts</w:t>
      </w:r>
    </w:p>
    <w:p>
      <w:pPr>
        <w:pStyle w:val="ListNumber"/>
      </w:pPr>
      <w:r>
        <w:rPr/>
        <w:t>Term sheet discussion</w:t>
      </w:r>
    </w:p>
    <w:p>
      <w:r>
        <w:rPr/>
        <w:t>Contact for diligence coordination is provided separately.</w:t>
      </w:r>
    </w:p>
    <w:p>
      <w:pPr>
        <w:pBdr>
          <w:bottom w:val="single" w:sz="6" w:space="1" w:color="808080"/>
        </w:pBdr>
      </w:pPr>
    </w:p>
    <w:p>
      <w:r>
        <w:rPr/>
        <w:t>&lt;sub&gt;</w:t>
      </w:r>
      <w:r>
        <w:rPr>
          <w:i/>
        </w:rPr>
        <w:t>Sample work product produced by the Investment Analyst Practice for demonstration purposes. This is a fictional company and a fictional financing; figures, named individuals, and citations associated with "HealthCo" are illustrative and do not represent an actual offering. This document is a perspective piece prepared for discussion with parties who have already engaged with the subject company and is not, and should not be construed as, a solicitation, offer to sell, or recommendation to purchase securities.</w:t>
      </w:r>
      <w:r>
        <w:rPr/>
        <w:t>&lt;/sub&gt;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