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HealthCo — Assumptions Documentation</w:t>
      </w:r>
    </w:p>
    <w:p>
      <w:r>
        <w:rPr>
          <w:b/>
        </w:rPr>
        <w:t>Sample for demonstration only.</w:t>
      </w:r>
      <w:r>
        <w:rPr/>
        <w:t xml:space="preserve"> HealthCo is a fictional company; figures are illustrative.</w:t>
      </w:r>
    </w:p>
    <w:p>
      <w:pPr>
        <w:pStyle w:val="Heading1"/>
      </w:pPr>
      <w:r/>
      <w:r>
        <w:rPr/>
        <w:t>Company snapshot</w:t>
      </w:r>
    </w:p>
    <w:p>
      <w:r>
        <w:rPr/>
        <w:t>EchoPilot is an AI software-as-a-medical-device (SaMD) for cardiac amyloidosis detection from echocardiograms. 510(k) cleared in 2024. ~22 FTE in Boston, founded 2021. Currently generating ~18K echos YTD across 7 pilot sites at a $25 average selling price (ASP). Burn ~$475K/month. Raising a $15M Series A at $50M pre / $65M post.</w:t>
      </w:r>
    </w:p>
    <w:p>
      <w:pPr>
        <w:pBdr>
          <w:bottom w:val="single" w:sz="6" w:space="1" w:color="808080"/>
        </w:pBdr>
      </w:pPr>
    </w:p>
    <w:p>
      <w:pPr>
        <w:pStyle w:val="Heading1"/>
      </w:pPr>
      <w:r/>
      <w:r>
        <w:rPr/>
        <w:t>Revenue assumptions</w:t>
      </w:r>
    </w:p>
    <w:p>
      <w:pPr>
        <w:pStyle w:val="Heading2"/>
      </w:pPr>
      <w:r/>
      <w:r>
        <w:rPr/>
        <w:t>Customer ramp: 7 pilots → 80 paying customers by Y5</w:t>
      </w:r>
    </w:p>
    <w:p>
      <w:r>
        <w:rPr/>
        <w:t>We model paying customers (end of year) as: 10, 22, 38, 58, 80 across Y1–Y5.</w:t>
      </w:r>
    </w:p>
    <w:p>
      <w:r>
        <w:rPr>
          <w:b/>
        </w:rPr>
        <w:t>Why this trajectory.</w:t>
      </w:r>
      <w:r>
        <w:rPr/>
        <w:t xml:space="preserve"> HealthCo enters Y1 with 7 active pilot sites. Series A funds a meaningful S&amp;M build (10 → 36 FTE over five years), and the company has 510(k) clearance — the primary procurement gating item for hospital systems. Pilot-to-paid conversion in echo AI typically takes 9-18 months: the model assumes 7-10 pilots convert in Y1 (post-clearance, with reimbursement tailwind from CPT III code monetization), then accelerating new-logo additions as channel partners (PACS / OEM resale) come online.</w:t>
      </w:r>
    </w:p>
    <w:p>
      <w:r>
        <w:rPr>
          <w:b/>
        </w:rPr>
        <w:t>Comparable benchmarks.</w:t>
      </w:r>
    </w:p>
    <w:p>
      <w:pPr>
        <w:pStyle w:val="ListBullet"/>
      </w:pPr>
      <w:r>
        <w:rPr>
          <w:b/>
        </w:rPr>
        <w:t>Us2.ai</w:t>
      </w:r>
      <w:r>
        <w:rPr/>
        <w:t xml:space="preserve"> (Singapore, echo AI, pre-Series-B): publicly disclosed ~30 deployment sites in 2024.</w:t>
      </w:r>
    </w:p>
    <w:p>
      <w:pPr>
        <w:pStyle w:val="ListBullet"/>
      </w:pPr>
      <w:r>
        <w:rPr>
          <w:b/>
        </w:rPr>
        <w:t>Ultromics</w:t>
      </w:r>
      <w:r>
        <w:rPr/>
        <w:t xml:space="preserve"> (Oxford, EchoGo for HFpEF/amyloidosis): approximately 50+ U.S. sites by 2024 after Mayo partnership and Series B.</w:t>
      </w:r>
    </w:p>
    <w:p>
      <w:pPr>
        <w:pStyle w:val="ListBullet"/>
      </w:pPr>
      <w:r>
        <w:rPr>
          <w:b/>
        </w:rPr>
        <w:t>Caption Health</w:t>
      </w:r>
      <w:r>
        <w:rPr/>
        <w:t xml:space="preserve"> (acquired by GE in 2023): scaled to several hundred sites pre-acquisition over ~5 years.</w:t>
      </w:r>
    </w:p>
    <w:p>
      <w:r>
        <w:rPr/>
        <w:t>Reaching 80 customers by Y5 places HealthCo between Us2.ai and Ultromics — defensible for a 510(k)-cleared, single-indication tool.</w:t>
      </w:r>
    </w:p>
    <w:p>
      <w:pPr>
        <w:pStyle w:val="Heading2"/>
      </w:pPr>
      <w:r/>
      <w:r>
        <w:rPr/>
        <w:t>Echos per customer per month: 180 → 360</w:t>
      </w:r>
    </w:p>
    <w:p>
      <w:r>
        <w:rPr/>
        <w:t>Mid-volume cardiology centers run 150-400 echos/month. Y1 starts conservatively (180 — accounts for partial-year onboarding and gradual workflow integration), scaling to 360 as institutional adoption deepens. Large IDNs may run 600-1200 echos/month but they're not the median customer.</w:t>
      </w:r>
    </w:p>
    <w:p>
      <w:pPr>
        <w:pStyle w:val="Heading2"/>
      </w:pPr>
      <w:r/>
      <w:r>
        <w:rPr/>
        <w:t>ASP ramp: $28 → $58 per study</w:t>
      </w:r>
    </w:p>
    <w:p>
      <w:r>
        <w:rPr/>
        <w:t>Currently $25 ASP at pilot pricing. The ramp to $58 by Y5 reflects:</w:t>
      </w:r>
    </w:p>
    <w:p>
      <w:pPr>
        <w:pStyle w:val="ListNumber"/>
      </w:pPr>
      <w:r>
        <w:rPr/>
        <w:t>Exit from pilot pricing (pilots typically discounted 40-60%);</w:t>
      </w:r>
    </w:p>
    <w:p>
      <w:pPr>
        <w:pStyle w:val="ListNumber"/>
      </w:pPr>
      <w:r>
        <w:rPr/>
        <w:t>Reimbursement maturation. AI cardiac imaging has CPT III code traction; a Category I code would shift pricing power materially. We assume Category III through Y5 (no Cat I windfall);</w:t>
      </w:r>
    </w:p>
    <w:p>
      <w:pPr>
        <w:pStyle w:val="ListNumber"/>
      </w:pPr>
      <w:r>
        <w:rPr/>
        <w:t>Mix shift toward enterprise contracts (higher list, more committed volume).</w:t>
      </w:r>
    </w:p>
    <w:p>
      <w:r>
        <w:rPr>
          <w:b/>
        </w:rPr>
        <w:t>Comparable benchmarks.</w:t>
      </w:r>
      <w:r>
        <w:rPr/>
        <w:t xml:space="preserve"> Per-study pricing in cardiac AI ranges $20-$80; HeartFlow (FFR-CT) is a different product class and prices &gt;$1,000/study and is not a comp. EchoGo Amyloidosis is reimbursable via CPT III 0623T (cardiac MRI quantification) ecosystem — adjacent rather than identical economics.</w:t>
      </w:r>
    </w:p>
    <w:p>
      <w:pPr>
        <w:pStyle w:val="Heading2"/>
      </w:pPr>
      <w:r/>
      <w:r>
        <w:rPr/>
        <w:t>Channel mix: direct enterprise grows from 30% to 50%</w:t>
      </w:r>
    </w:p>
    <w:p>
      <w:r>
        <w:rPr/>
        <w:t>Initial growth tilts toward channel partners (PACS / OEM bundles like GE HealthCare, Philips IntelliSpace) for distribution velocity. Over time, direct enterprise contracts grow as the company builds field sales muscle and brand. Self-serve / mid-market remains a steady 20% — important for capital efficiency but not the strategic core.</w:t>
      </w:r>
    </w:p>
    <w:p>
      <w:pPr>
        <w:pStyle w:val="Heading2"/>
      </w:pPr>
      <w:r/>
      <w:r>
        <w:rPr/>
        <w:t>Churn: 5% → 10%</w:t>
      </w:r>
    </w:p>
    <w:p>
      <w:r>
        <w:rPr/>
        <w:t>Logo churn starts low (5%) because Y1 base is anchored by pilot conversions where contractual stickiness is high. Climbs to 10% as the customer base broadens and includes mid-market accounts with higher churn baseline. Healthcare SaaS benchmark: 6-12% logo churn.</w:t>
      </w:r>
    </w:p>
    <w:p>
      <w:pPr>
        <w:pBdr>
          <w:bottom w:val="single" w:sz="6" w:space="1" w:color="808080"/>
        </w:pBdr>
      </w:pPr>
    </w:p>
    <w:p>
      <w:pPr>
        <w:pStyle w:val="Heading1"/>
      </w:pPr>
      <w:r/>
      <w:r>
        <w:rPr/>
        <w:t>OpEx assumptions</w:t>
      </w:r>
    </w:p>
    <w:p>
      <w:pPr>
        <w:pStyle w:val="Heading2"/>
      </w:pPr>
      <w:r/>
      <w:r>
        <w:rPr/>
        <w:t>Headcount: 31 → 86 FTE over 5 years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Y1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Y2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Y3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Y4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Y5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S&amp;M</w:t>
            </w:r>
          </w:p>
        </w:tc>
        <w:tc>
          <w:tcPr>
            <w:tcW w:type="dxa" w:w="1440"/>
          </w:tcPr>
          <w:p>
            <w:r/>
            <w:r>
              <w:rPr/>
              <w:t>10</w:t>
            </w:r>
          </w:p>
        </w:tc>
        <w:tc>
          <w:tcPr>
            <w:tcW w:type="dxa" w:w="1440"/>
          </w:tcPr>
          <w:p>
            <w:r/>
            <w:r>
              <w:rPr/>
              <w:t>18</w:t>
            </w:r>
          </w:p>
        </w:tc>
        <w:tc>
          <w:tcPr>
            <w:tcW w:type="dxa" w:w="1440"/>
          </w:tcPr>
          <w:p>
            <w:r/>
            <w:r>
              <w:rPr/>
              <w:t>26</w:t>
            </w:r>
          </w:p>
        </w:tc>
        <w:tc>
          <w:tcPr>
            <w:tcW w:type="dxa" w:w="1440"/>
          </w:tcPr>
          <w:p>
            <w:r/>
            <w:r>
              <w:rPr/>
              <w:t>32</w:t>
            </w:r>
          </w:p>
        </w:tc>
        <w:tc>
          <w:tcPr>
            <w:tcW w:type="dxa" w:w="1440"/>
          </w:tcPr>
          <w:p>
            <w:r/>
            <w:r>
              <w:rPr/>
              <w:t>36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R&amp;D</w:t>
            </w:r>
          </w:p>
        </w:tc>
        <w:tc>
          <w:tcPr>
            <w:tcW w:type="dxa" w:w="1440"/>
          </w:tcPr>
          <w:p>
            <w:r/>
            <w:r>
              <w:rPr/>
              <w:t>14</w:t>
            </w:r>
          </w:p>
        </w:tc>
        <w:tc>
          <w:tcPr>
            <w:tcW w:type="dxa" w:w="1440"/>
          </w:tcPr>
          <w:p>
            <w:r/>
            <w:r>
              <w:rPr/>
              <w:t>20</w:t>
            </w:r>
          </w:p>
        </w:tc>
        <w:tc>
          <w:tcPr>
            <w:tcW w:type="dxa" w:w="1440"/>
          </w:tcPr>
          <w:p>
            <w:r/>
            <w:r>
              <w:rPr/>
              <w:t>26</w:t>
            </w:r>
          </w:p>
        </w:tc>
        <w:tc>
          <w:tcPr>
            <w:tcW w:type="dxa" w:w="1440"/>
          </w:tcPr>
          <w:p>
            <w:r/>
            <w:r>
              <w:rPr/>
              <w:t>30</w:t>
            </w:r>
          </w:p>
        </w:tc>
        <w:tc>
          <w:tcPr>
            <w:tcW w:type="dxa" w:w="1440"/>
          </w:tcPr>
          <w:p>
            <w:r/>
            <w:r>
              <w:rPr/>
              <w:t>32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Clinical</w:t>
            </w:r>
          </w:p>
        </w:tc>
        <w:tc>
          <w:tcPr>
            <w:tcW w:type="dxa" w:w="1440"/>
          </w:tcPr>
          <w:p>
            <w:r/>
            <w:r>
              <w:rPr/>
              <w:t>3</w:t>
            </w:r>
          </w:p>
        </w:tc>
        <w:tc>
          <w:tcPr>
            <w:tcW w:type="dxa" w:w="1440"/>
          </w:tcPr>
          <w:p>
            <w:r/>
            <w:r>
              <w:rPr/>
              <w:t>5</w:t>
            </w:r>
          </w:p>
        </w:tc>
        <w:tc>
          <w:tcPr>
            <w:tcW w:type="dxa" w:w="1440"/>
          </w:tcPr>
          <w:p>
            <w:r/>
            <w:r>
              <w:rPr/>
              <w:t>7</w:t>
            </w:r>
          </w:p>
        </w:tc>
        <w:tc>
          <w:tcPr>
            <w:tcW w:type="dxa" w:w="1440"/>
          </w:tcPr>
          <w:p>
            <w:r/>
            <w:r>
              <w:rPr/>
              <w:t>8</w:t>
            </w:r>
          </w:p>
        </w:tc>
        <w:tc>
          <w:tcPr>
            <w:tcW w:type="dxa" w:w="1440"/>
          </w:tcPr>
          <w:p>
            <w:r/>
            <w:r>
              <w:rPr/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G&amp;A</w:t>
            </w:r>
          </w:p>
        </w:tc>
        <w:tc>
          <w:tcPr>
            <w:tcW w:type="dxa" w:w="1440"/>
          </w:tcPr>
          <w:p>
            <w:r/>
            <w:r>
              <w:rPr/>
              <w:t>4</w:t>
            </w:r>
          </w:p>
        </w:tc>
        <w:tc>
          <w:tcPr>
            <w:tcW w:type="dxa" w:w="1440"/>
          </w:tcPr>
          <w:p>
            <w:r/>
            <w:r>
              <w:rPr/>
              <w:t>6</w:t>
            </w:r>
          </w:p>
        </w:tc>
        <w:tc>
          <w:tcPr>
            <w:tcW w:type="dxa" w:w="1440"/>
          </w:tcPr>
          <w:p>
            <w:r/>
            <w:r>
              <w:rPr/>
              <w:t>8</w:t>
            </w:r>
          </w:p>
        </w:tc>
        <w:tc>
          <w:tcPr>
            <w:tcW w:type="dxa" w:w="1440"/>
          </w:tcPr>
          <w:p>
            <w:r/>
            <w:r>
              <w:rPr/>
              <w:t>9</w:t>
            </w:r>
          </w:p>
        </w:tc>
        <w:tc>
          <w:tcPr>
            <w:tcW w:type="dxa" w:w="1440"/>
          </w:tcPr>
          <w:p>
            <w:r/>
            <w:r>
              <w:rPr/>
              <w:t>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49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79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86</w:t>
            </w:r>
          </w:p>
        </w:tc>
      </w:tr>
    </w:tbl>
    <w:p>
      <w:r>
        <w:rPr>
          <w:b/>
        </w:rPr>
        <w:t>Rationale.</w:t>
      </w:r>
    </w:p>
    <w:p>
      <w:pPr>
        <w:pStyle w:val="ListBullet"/>
      </w:pPr>
      <w:r>
        <w:rPr>
          <w:b/>
        </w:rPr>
        <w:t>S&amp;M</w:t>
      </w:r>
      <w:r>
        <w:rPr/>
        <w:t xml:space="preserve"> is the use-of-funds priority ($6M of $15M). Heavy front-loaded hiring — 4 AEs + 3 SDRs + 2 clinical sales specialists + 1 marketing leader by end of Y1.</w:t>
      </w:r>
    </w:p>
    <w:p>
      <w:pPr>
        <w:pStyle w:val="ListBullet"/>
      </w:pPr>
      <w:r>
        <w:rPr>
          <w:b/>
        </w:rPr>
        <w:t>R&amp;D</w:t>
      </w:r>
      <w:r>
        <w:rPr/>
        <w:t xml:space="preserve"> grows steadily; the team is already strong (510(k) cleared product) but needs to expand to adjacent indications (HFpEF, valve, etc.) and to invest in the multi-modal echo platform.</w:t>
      </w:r>
    </w:p>
    <w:p>
      <w:pPr>
        <w:pStyle w:val="ListBullet"/>
      </w:pPr>
      <w:r>
        <w:rPr>
          <w:b/>
        </w:rPr>
        <w:t>Clinical</w:t>
      </w:r>
      <w:r>
        <w:rPr/>
        <w:t xml:space="preserve"> stays small but grows in Y2-Y3 to support post-market evidence generation, KOL engagement, and prospective trials.</w:t>
      </w:r>
    </w:p>
    <w:p>
      <w:pPr>
        <w:pStyle w:val="ListBullet"/>
      </w:pPr>
      <w:r>
        <w:rPr>
          <w:b/>
        </w:rPr>
        <w:t>G&amp;A</w:t>
      </w:r>
      <w:r>
        <w:rPr/>
        <w:t xml:space="preserve"> grows with revenue and Series A reporting overhead; finance + legal + people ops scaling.</w:t>
      </w:r>
    </w:p>
    <w:p>
      <w:pPr>
        <w:pStyle w:val="Heading2"/>
      </w:pPr>
      <w:r/>
      <w:r>
        <w:rPr/>
        <w:t>Fully-loaded cost per FTE: $195K → $235K</w:t>
      </w:r>
    </w:p>
    <w:p>
      <w:r>
        <w:rPr/>
        <w:t>Boston-area healthcare technology compensation. Includes salary, benefits, payroll tax, equipment, and stock comp at fair-value cost. Inflates ~5%/yr (midpoint of 4-6% comp inflation observed in healthcare technology since 2022).</w:t>
      </w:r>
    </w:p>
    <w:p>
      <w:pPr>
        <w:pStyle w:val="Heading2"/>
      </w:pPr>
      <w:r/>
      <w:r>
        <w:rPr/>
        <w:t>Other OpEx</w:t>
      </w:r>
    </w:p>
    <w:p>
      <w:pPr>
        <w:pStyle w:val="ListBullet"/>
      </w:pPr>
      <w:r>
        <w:rPr>
          <w:b/>
        </w:rPr>
        <w:t>Cloud / inference</w:t>
      </w:r>
      <w:r>
        <w:rPr/>
        <w:t>: $0.85/study Y1 declining to $0.52/study Y5. GPU-heavy AI inference costs decline with optimization and scale-driven cloud commit pricing.</w:t>
      </w:r>
    </w:p>
    <w:p>
      <w:pPr>
        <w:pStyle w:val="ListBullet"/>
      </w:pPr>
      <w:r>
        <w:rPr>
          <w:b/>
        </w:rPr>
        <w:t>Hosting fixed</w:t>
      </w:r>
      <w:r>
        <w:rPr/>
        <w:t>: HIPAA-compliant multi-region infra at $180K → $420K. Scales sub-linearly with volume.</w:t>
      </w:r>
    </w:p>
    <w:p>
      <w:pPr>
        <w:pStyle w:val="ListBullet"/>
      </w:pPr>
      <w:r>
        <w:rPr>
          <w:b/>
        </w:rPr>
        <w:t>Customer success</w:t>
      </w:r>
      <w:r>
        <w:rPr/>
        <w:t>: $12K → $9K per customer per year. Higher early as implementations are bespoke; declines with playbook maturation.</w:t>
      </w:r>
    </w:p>
    <w:p>
      <w:pPr>
        <w:pStyle w:val="ListBullet"/>
      </w:pPr>
      <w:r>
        <w:rPr>
          <w:b/>
        </w:rPr>
        <w:t>Clinical study spend</w:t>
      </w:r>
      <w:r>
        <w:rPr/>
        <w:t>: peaks Y2 ($1.2M) for major post-market study, tapers as evidence base builds.</w:t>
      </w:r>
    </w:p>
    <w:p>
      <w:pPr>
        <w:pStyle w:val="ListBullet"/>
      </w:pPr>
      <w:r>
        <w:rPr>
          <w:b/>
        </w:rPr>
        <w:t>Marketing programs</w:t>
      </w:r>
      <w:r>
        <w:rPr/>
        <w:t>: $600K Y1 → $2.1M Y5. HIMSS, ACC, ESC, ASE conferences plus demand-gen.</w:t>
      </w:r>
    </w:p>
    <w:p>
      <w:pPr>
        <w:pStyle w:val="ListBullet"/>
      </w:pPr>
      <w:r>
        <w:rPr>
          <w:b/>
        </w:rPr>
        <w:t>Legal / regulatory</w:t>
      </w:r>
      <w:r>
        <w:rPr/>
        <w:t>: $350K → $550K. FDA submissions for indication expansions, IP, outside counsel.</w:t>
      </w:r>
    </w:p>
    <w:p>
      <w:pPr>
        <w:pBdr>
          <w:bottom w:val="single" w:sz="6" w:space="1" w:color="808080"/>
        </w:pBdr>
      </w:pPr>
    </w:p>
    <w:p>
      <w:pPr>
        <w:pStyle w:val="Heading1"/>
      </w:pPr>
      <w:r/>
      <w:r>
        <w:rPr/>
        <w:t>Cash flow assumptions</w:t>
      </w:r>
    </w:p>
    <w:p>
      <w:pPr>
        <w:pStyle w:val="Heading2"/>
      </w:pPr>
      <w:r/>
      <w:r>
        <w:rPr/>
        <w:t>Series A inflow: $15M in month 1 of Y1</w:t>
      </w:r>
    </w:p>
    <w:p>
      <w:r>
        <w:rPr/>
        <w:t>Modeled as single-month inflow; in practice may close in tranches.</w:t>
      </w:r>
    </w:p>
    <w:p>
      <w:pPr>
        <w:pStyle w:val="Heading2"/>
      </w:pPr>
      <w:r/>
      <w:r>
        <w:rPr/>
        <w:t>NIH SBIR Phase II: $1.7M</w:t>
      </w:r>
    </w:p>
    <w:p>
      <w:r>
        <w:rPr/>
        <w:t xml:space="preserve">Non-dilutive grant recognized half in Y1 and half in Y2 ($850K each). Does </w:t>
      </w:r>
      <w:r>
        <w:rPr>
          <w:b/>
        </w:rPr>
        <w:t>not</w:t>
      </w:r>
      <w:r>
        <w:rPr/>
        <w:t xml:space="preserve"> appear on cap table.</w:t>
      </w:r>
    </w:p>
    <w:p>
      <w:pPr>
        <w:pStyle w:val="Heading2"/>
      </w:pPr>
      <w:r/>
      <w:r>
        <w:rPr/>
        <w:t>Starting cash: $2.2M</w:t>
      </w:r>
    </w:p>
    <w:p>
      <w:r>
        <w:rPr/>
        <w:t>Approximately 4.6 months of runway at $475K/mo pre-close — consistent with a company in active fundraising mode.</w:t>
      </w:r>
    </w:p>
    <w:p>
      <w:pPr>
        <w:pBdr>
          <w:bottom w:val="single" w:sz="6" w:space="1" w:color="808080"/>
        </w:pBdr>
      </w:pPr>
    </w:p>
    <w:p>
      <w:pPr>
        <w:pStyle w:val="Heading1"/>
      </w:pPr>
      <w:r/>
      <w:r>
        <w:rPr/>
        <w:t>Cap table &amp; financing assumptions</w:t>
      </w:r>
    </w:p>
    <w:p>
      <w:pPr>
        <w:pStyle w:val="Heading2"/>
      </w:pPr>
      <w:r/>
      <w:r>
        <w:rPr/>
        <w:t>SAFE conversion treatment</w:t>
      </w:r>
    </w:p>
    <w:p>
      <w:r>
        <w:rPr/>
        <w:t xml:space="preserve">Both SAFEs are standard YC post-money SAFEs with no MFN. Per YC convention, post-money SAFEs lock in a guaranteed ownership percentage at conversion equal to </w:t>
      </w:r>
      <w:r>
        <w:rPr>
          <w:b/>
        </w:rPr>
        <w:t>investment / cap</w:t>
      </w:r>
      <w:r>
        <w:rPr/>
        <w:t>:</w:t>
      </w:r>
    </w:p>
    <w:p>
      <w:pPr>
        <w:pStyle w:val="ListBullet"/>
      </w:pPr>
      <w:r>
        <w:rPr/>
        <w:t xml:space="preserve">SAFE 1: $1.5M / $10M = </w:t>
      </w:r>
      <w:r>
        <w:rPr>
          <w:b/>
        </w:rPr>
        <w:t>15.00% post-money</w:t>
      </w:r>
    </w:p>
    <w:p>
      <w:pPr>
        <w:pStyle w:val="ListBullet"/>
      </w:pPr>
      <w:r>
        <w:rPr/>
        <w:t xml:space="preserve">SAFE 2: $1.0M / $18M = </w:t>
      </w:r>
      <w:r>
        <w:rPr>
          <w:b/>
        </w:rPr>
        <w:t>5.556% post-money</w:t>
      </w:r>
    </w:p>
    <w:p>
      <w:r>
        <w:rPr/>
        <w:t>The model also computes implied SAFE price-per-share (cap / pre-SAFE-FD-shares) and Series A price-per-share (pre-money / pre-SAFE-FD-shares) for transparency, and uses MIN of the two as the conversion price.</w:t>
      </w:r>
    </w:p>
    <w:p>
      <w:r>
        <w:rPr/>
        <w:t>For SAFE 1, the SAFE cap ($10M) is far below the Series A pre-money ($50M), so the SAFE investor benefits dramatically — converting at a per-share price ~5x cheaper than the Series A.</w:t>
      </w:r>
    </w:p>
    <w:p>
      <w:pPr>
        <w:pStyle w:val="Heading2"/>
      </w:pPr>
      <w:r/>
      <w:r>
        <w:rPr/>
        <w:t>Option pool top-up to 12% of post-money FD</w:t>
      </w:r>
    </w:p>
    <w:p>
      <w:r>
        <w:rPr/>
        <w:t xml:space="preserve">Lead investor's standard ask. The pool top-up comes from </w:t>
      </w:r>
      <w:r>
        <w:rPr>
          <w:b/>
        </w:rPr>
        <w:t>pre-money</w:t>
      </w:r>
      <w:r>
        <w:rPr/>
        <w:t xml:space="preserve"> under typical Series A documentation, meaning founders absorb the dilution from refreshing the pool, not new investors. We size the new pool such that the </w:t>
      </w:r>
      <w:r>
        <w:rPr>
          <w:b/>
        </w:rPr>
        <w:t>total</w:t>
      </w:r>
      <w:r>
        <w:rPr/>
        <w:t xml:space="preserve"> post-money option pool (granted + available) equals 12%.</w:t>
      </w:r>
    </w:p>
    <w:p>
      <w:r>
        <w:rPr/>
        <w:t>In the lead-pushback scenario (15% pool), founders absorb materially more dilution — Maya goes from ~17.0% post-A (12% pool) to ~16.4% post-A (15% pool). Worth pushing back on, but not a deal-breaker given the S&amp;M build requires meaningful new option grants.</w:t>
      </w:r>
    </w:p>
    <w:p>
      <w:pPr>
        <w:pStyle w:val="Heading2"/>
      </w:pPr>
      <w:r/>
      <w:r>
        <w:rPr/>
        <w:t>Founder ownership trajectory</w:t>
      </w:r>
    </w:p>
    <w:p>
      <w:r>
        <w:rPr>
          <w:b/>
        </w:rPr>
        <w:t>Pre-A:</w:t>
      </w:r>
      <w:r>
        <w:rPr/>
        <w:t xml:space="preserve"> Maya 22%, Raj 18%, Sarah 8% = 48% combined.</w:t>
      </w:r>
    </w:p>
    <w:p>
      <w:r>
        <w:rPr>
          <w:b/>
        </w:rPr>
        <w:t>Post-A (Base, 12% pool):</w:t>
      </w:r>
      <w:r>
        <w:rPr/>
        <w:t xml:space="preserve"> Founders + existing common ≈ 44.4%. Founders only ≈ 36.7% combined (Maya ~16.8%, Raj ~13.8%, Sarah ~6.1%).</w:t>
      </w:r>
    </w:p>
    <w:p>
      <w:r>
        <w:rPr>
          <w:b/>
        </w:rPr>
        <w:t>Post-B (Series B at $120M pre / $30M raise):</w:t>
      </w:r>
      <w:r>
        <w:rPr/>
        <w:t xml:space="preserve"> Series B brings ~20% new-investor dilution + 3% pool refresh, so founders retain ~77% of post-A position. Maya ~13.0%, Raj ~10.6%, Sarah ~4.7%.</w:t>
      </w:r>
    </w:p>
    <w:p>
      <w:r>
        <w:rPr>
          <w:b/>
        </w:rPr>
        <w:t>At exit ($500M acquisition):</w:t>
      </w:r>
      <w:r>
        <w:rPr/>
        <w:t xml:space="preserve"> Same as post-B (no further dilution modeled; LP preferences not modeled — assumes 1x non-participating preferred, which is the most-common term and produces clean common-stock economics at $500M+ exits).</w:t>
      </w:r>
    </w:p>
    <w:p>
      <w:pPr>
        <w:pStyle w:val="Heading2"/>
      </w:pPr>
      <w:r/>
      <w:r>
        <w:rPr/>
        <w:t>Dead equity analysis</w:t>
      </w:r>
    </w:p>
    <w:p>
      <w:r>
        <w:rPr/>
        <w:t>HealthCo is intentionally clean: all &gt;2% holders are active executives or investors. The "Dead Equity Flag" tab includes the analysis logic so the framework is reusable for other deals where non-active &gt;2% holders may surface.</w:t>
      </w:r>
    </w:p>
    <w:p>
      <w:pPr>
        <w:pBdr>
          <w:bottom w:val="single" w:sz="6" w:space="1" w:color="808080"/>
        </w:pBdr>
      </w:pPr>
    </w:p>
    <w:p>
      <w:pPr>
        <w:pStyle w:val="Heading1"/>
      </w:pPr>
      <w:r/>
      <w:r>
        <w:rPr/>
        <w:t>What we'd push back on with the lead</w:t>
      </w:r>
    </w:p>
    <w:p>
      <w:pPr>
        <w:pStyle w:val="ListNumber"/>
      </w:pPr>
      <w:r>
        <w:rPr>
          <w:b/>
        </w:rPr>
        <w:t>15% pool ask</w:t>
      </w:r>
      <w:r>
        <w:rPr/>
        <w:t xml:space="preserve"> — counter at 12%. The hiring plan supports 12% comfortably; 15% over-dilutes founders relative to the work required (Maya alone loses ~1.1 percentage points of post-money ownership).</w:t>
      </w:r>
    </w:p>
    <w:p>
      <w:pPr>
        <w:pStyle w:val="ListNumber"/>
      </w:pPr>
      <w:r>
        <w:rPr>
          <w:b/>
        </w:rPr>
        <w:t>Pre-money pool source</w:t>
      </w:r>
      <w:r>
        <w:rPr/>
        <w:t xml:space="preserve"> — confirm in term sheet that pool top-up is pre-money (founders absorb), and negotiate to share dilution if the lead requests &gt;12%.</w:t>
      </w:r>
    </w:p>
    <w:p>
      <w:pPr>
        <w:pStyle w:val="ListNumber"/>
      </w:pPr>
      <w:r>
        <w:rPr>
          <w:b/>
        </w:rPr>
        <w:t>Liquidation preference</w:t>
      </w:r>
      <w:r>
        <w:rPr/>
        <w:t xml:space="preserve"> — push for 1x non-participating, no senior preference for SAFEs (they should be pari passu with Series A, not senior).</w:t>
      </w:r>
    </w:p>
    <w:p>
      <w:pPr>
        <w:pBdr>
          <w:bottom w:val="single" w:sz="6" w:space="1" w:color="808080"/>
        </w:pBdr>
      </w:pPr>
    </w:p>
    <w:p>
      <w:r>
        <w:rPr>
          <w:i/>
        </w:rPr>
        <w:t>Prepared by STP Advisory — Healthcare Practice.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