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Please approve the write permission for </w:t>
      </w:r>
      <w:r>
        <w:rPr>
          <w:rFonts w:ascii="Courier New" w:hAnsi="Courier New"/>
        </w:rPr>
        <w:t>Output/TechArc.md</w:t>
      </w:r>
      <w:r>
        <w:t xml:space="preserve"> in the prompt that appeared, then I'll save the document.</w:t>
      </w:r>
    </w:p>
    <w:p>
      <w:r>
        <w:t>The document I've designed covers:</w:t>
      </w:r>
    </w:p>
    <w:p>
      <w:pPr>
        <w:pStyle w:val="ListNumber"/>
      </w:pPr>
      <w:r/>
      <w:r>
        <w:rPr>
          <w:b/>
        </w:rPr>
        <w:t>Controllers</w:t>
      </w:r>
      <w:r>
        <w:t xml:space="preserve"> — thin HTTP handlers (</w:t>
      </w:r>
      <w:r>
        <w:rPr>
          <w:rFonts w:ascii="Courier New" w:hAnsi="Courier New"/>
        </w:rPr>
        <w:t>announcementController</w:t>
      </w:r>
      <w:r>
        <w:t xml:space="preserve">, </w:t>
      </w:r>
      <w:r>
        <w:rPr>
          <w:rFonts w:ascii="Courier New" w:hAnsi="Courier New"/>
        </w:rPr>
        <w:t>healthController</w:t>
      </w:r>
      <w:r>
        <w:t>) that delegate immediately to services</w:t>
      </w:r>
    </w:p>
    <w:p>
      <w:pPr>
        <w:pStyle w:val="ListNumber"/>
      </w:pPr>
      <w:r/>
      <w:r>
        <w:rPr>
          <w:b/>
        </w:rPr>
        <w:t>Services</w:t>
      </w:r>
      <w:r>
        <w:t xml:space="preserve"> — business logic layer (</w:t>
      </w:r>
      <w:r>
        <w:rPr>
          <w:rFonts w:ascii="Courier New" w:hAnsi="Courier New"/>
        </w:rPr>
        <w:t>announcementService</w:t>
      </w:r>
      <w:r>
        <w:t xml:space="preserve"> orchestrates cache → DB → scrape fallback chain; </w:t>
      </w:r>
      <w:r>
        <w:rPr>
          <w:rFonts w:ascii="Courier New" w:hAnsi="Courier New"/>
        </w:rPr>
        <w:t>scraperService</w:t>
      </w:r>
      <w:r>
        <w:t xml:space="preserve"> owns Axios + Cheerio)</w:t>
      </w:r>
    </w:p>
    <w:p>
      <w:pPr>
        <w:pStyle w:val="ListNumber"/>
      </w:pPr>
      <w:r/>
      <w:r>
        <w:rPr>
          <w:b/>
        </w:rPr>
        <w:t>Repository Pattern</w:t>
      </w:r>
      <w:r>
        <w:t xml:space="preserve"> — </w:t>
      </w:r>
      <w:r>
        <w:rPr>
          <w:rFonts w:ascii="Courier New" w:hAnsi="Courier New"/>
        </w:rPr>
        <w:t>announcementRepository</w:t>
      </w:r>
      <w:r>
        <w:t xml:space="preserve"> and </w:t>
      </w:r>
      <w:r>
        <w:rPr>
          <w:rFonts w:ascii="Courier New" w:hAnsi="Courier New"/>
        </w:rPr>
        <w:t>scrapeRunRepository</w:t>
      </w:r>
      <w:r>
        <w:t xml:space="preserve"> abstract all SQL; services never write raw queries</w:t>
      </w:r>
    </w:p>
    <w:p>
      <w:r>
        <w:t xml:space="preserve">Plus the full directory structure, data flows (read path + scheduled write path), DB schema, API contract, error handling table, and Railway deployment config — all mapped to the modules from </w:t>
      </w:r>
      <w:r>
        <w:rPr>
          <w:rFonts w:ascii="Courier New" w:hAnsi="Courier New"/>
        </w:rPr>
        <w:t>modules.md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