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business-plan-incorporadora-imobiliária"/>
      <w:r>
        <w:t xml:space="preserve">Business Plan — Incorporadora Imobiliária</w:t>
      </w:r>
      <w:bookmarkEnd w:id="20"/>
    </w:p>
    <w:p>
      <w:pPr>
        <w:pStyle w:val="Heading2"/>
      </w:pPr>
      <w:bookmarkStart w:id="21" w:name="X28d9e086756d75f68b7e029c3cb11ba7c34b61e"/>
      <w:r>
        <w:t xml:space="preserve">Versão 1.0 — Fase de Estruturação (Março/2026)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sumário-executivo"/>
      <w:r>
        <w:t xml:space="preserve">1. Sumário Executivo</w:t>
      </w:r>
      <w:bookmarkEnd w:id="22"/>
    </w:p>
    <w:p>
      <w:pPr>
        <w:pStyle w:val="FirstParagraph"/>
      </w:pPr>
      <w:r>
        <w:t xml:space="preserve">Este documento descreve o plano de negócios de uma incorporadora imobiliária em fase de constituição, operada por dois sócios complementares: um com perfil jurídico-estratégico e capital disponível, e outro com perfil técnico em arquitetura e execução de obras.</w:t>
      </w:r>
    </w:p>
    <w:p>
      <w:pPr>
        <w:pStyle w:val="BodyText"/>
      </w:pPr>
      <w:r>
        <w:t xml:space="preserve">O modelo de negócio é centrado na</w:t>
      </w:r>
      <w:r>
        <w:t xml:space="preserve"> </w:t>
      </w:r>
      <w:r>
        <w:rPr>
          <w:b/>
        </w:rPr>
        <w:t xml:space="preserve">aquisição de terrenos</w:t>
      </w:r>
      <w:r>
        <w:t xml:space="preserve">,</w:t>
      </w:r>
      <w:r>
        <w:t xml:space="preserve"> </w:t>
      </w:r>
      <w:r>
        <w:rPr>
          <w:b/>
        </w:rPr>
        <w:t xml:space="preserve">desenvolvimento de empreendimentos residenciais e/ou comerciais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venda com geração de lucro</w:t>
      </w:r>
      <w:r>
        <w:t xml:space="preserve">, utilizando estruturas de captação mistas: capital próprio, consórcio imobiliário, financiamento de obra pela Caixa Econômica Federal (CEF) e operações de permuta com proprietários de terrenos.</w:t>
      </w:r>
    </w:p>
    <w:p>
      <w:pPr>
        <w:pStyle w:val="BodyText"/>
      </w:pPr>
      <w:r>
        <w:t xml:space="preserve">A empresa será enquadrada no</w:t>
      </w:r>
      <w:r>
        <w:t xml:space="preserve"> </w:t>
      </w:r>
      <w:r>
        <w:rPr>
          <w:b/>
        </w:rPr>
        <w:t xml:space="preserve">Regime Especial de Tributação (RET)</w:t>
      </w:r>
      <w:r>
        <w:t xml:space="preserve"> </w:t>
      </w:r>
      <w:r>
        <w:t xml:space="preserve">sempre que possível, com adoção de</w:t>
      </w:r>
      <w:r>
        <w:t xml:space="preserve"> </w:t>
      </w:r>
      <w:r>
        <w:rPr>
          <w:b/>
        </w:rPr>
        <w:t xml:space="preserve">SPE (Sociedade de Propósito Específico)</w:t>
      </w:r>
      <w:r>
        <w:t xml:space="preserve"> </w:t>
      </w:r>
      <w:r>
        <w:t xml:space="preserve">por empreendimento para segregação de risco e elegibilidade ao Patrimônio de Afetação.</w:t>
      </w:r>
    </w:p>
    <w:p>
      <w:pPr>
        <w:pStyle w:val="BodyText"/>
      </w:pPr>
      <w:r>
        <w:rPr>
          <w:b/>
        </w:rPr>
        <w:t xml:space="preserve">Objetivo no horizonte de 3 anos:</w:t>
      </w:r>
      <w:r>
        <w:t xml:space="preserve"> </w:t>
      </w:r>
      <w:r>
        <w:t xml:space="preserve">Entregar 1 a 2 empreendimentos de pequeno/médio porte, validar o modelo operacional e construir track record sólido para captações futuras de maior escala.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o-negócio"/>
      <w:r>
        <w:t xml:space="preserve">2. O Negócio</w:t>
      </w:r>
      <w:bookmarkEnd w:id="23"/>
    </w:p>
    <w:p>
      <w:pPr>
        <w:pStyle w:val="Heading2"/>
      </w:pPr>
      <w:bookmarkStart w:id="24" w:name="missão"/>
      <w:r>
        <w:t xml:space="preserve">2.1 Missão</w:t>
      </w:r>
      <w:bookmarkEnd w:id="24"/>
    </w:p>
    <w:p>
      <w:pPr>
        <w:pStyle w:val="FirstParagraph"/>
      </w:pPr>
      <w:r>
        <w:t xml:space="preserve">Desenvolver empreendimentos imobiliários com rigor técnico, gestão eficiente de custos e retorno justo ao capital investido, gerando valor para compradores, parceiros e sócios.</w:t>
      </w:r>
    </w:p>
    <w:p>
      <w:pPr>
        <w:pStyle w:val="Heading2"/>
      </w:pPr>
      <w:bookmarkStart w:id="25" w:name="visão"/>
      <w:r>
        <w:t xml:space="preserve">2.2 Visão</w:t>
      </w:r>
      <w:bookmarkEnd w:id="25"/>
    </w:p>
    <w:p>
      <w:pPr>
        <w:pStyle w:val="FirstParagraph"/>
      </w:pPr>
      <w:r>
        <w:t xml:space="preserve">Tornar-se uma incorporadora de referência regional, reconhecida pela solidez jurídica, qualidade de entrega e disciplina financeira — com capacidade de estruturar empreendimentos de forma independente e atrair parceiros estratégicos.</w:t>
      </w:r>
    </w:p>
    <w:p>
      <w:pPr>
        <w:pStyle w:val="Heading2"/>
      </w:pPr>
      <w:bookmarkStart w:id="26" w:name="valores-fundamentais"/>
      <w:r>
        <w:t xml:space="preserve">2.3 Valores Fundamentais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Disciplina financeira:</w:t>
      </w:r>
      <w:r>
        <w:t xml:space="preserve"> </w:t>
      </w:r>
      <w:r>
        <w:t xml:space="preserve">nenhum empreendimento inicia sem viabilidade econômica comprovada.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Rigor jurídico:</w:t>
      </w:r>
      <w:r>
        <w:t xml:space="preserve"> </w:t>
      </w:r>
      <w:r>
        <w:t xml:space="preserve">todas as estruturas societárias, contratos e licenças seguem exigências legais sem atalhos.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Execução técnica:</w:t>
      </w:r>
      <w:r>
        <w:t xml:space="preserve"> </w:t>
      </w:r>
      <w:r>
        <w:t xml:space="preserve">qualidade de projeto e obra como diferencial competitivo.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Transparência entre sócios:</w:t>
      </w:r>
      <w:r>
        <w:t xml:space="preserve"> </w:t>
      </w:r>
      <w:r>
        <w:t xml:space="preserve">governança clara, decisões documentadas, resultados divididos conforme acordado.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estrutura-societária"/>
      <w:r>
        <w:t xml:space="preserve">3. Estrutura Societária</w:t>
      </w:r>
      <w:bookmarkEnd w:id="27"/>
    </w:p>
    <w:p>
      <w:pPr>
        <w:pStyle w:val="Heading2"/>
      </w:pPr>
      <w:bookmarkStart w:id="28" w:name="composição-dos-sócios"/>
      <w:r>
        <w:t xml:space="preserve">3.1 Composição dos Sócios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Contribuição Principal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Participação (a definir)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Sócio Jurídico/Estratégico</w:t>
            </w:r>
          </w:p>
        </w:tc>
        <w:tc>
          <w:p>
            <w:pPr>
              <w:pStyle w:val="Compact"/>
              <w:jc w:val="left"/>
            </w:pPr>
            <w:r>
              <w:t xml:space="preserve">Capital inicial, estruturação jurídica, contratos, relacionamento institucional</w:t>
            </w:r>
          </w:p>
        </w:tc>
        <w:tc>
          <w:p>
            <w:pPr>
              <w:pStyle w:val="Compact"/>
              <w:jc w:val="left"/>
            </w:pPr>
            <w:r>
              <w:t xml:space="preserve">A negociar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Sócio Técnico (Arq./Exec.)</w:t>
            </w:r>
          </w:p>
        </w:tc>
        <w:tc>
          <w:p>
            <w:pPr>
              <w:pStyle w:val="Compact"/>
              <w:jc w:val="left"/>
            </w:pPr>
            <w:r>
              <w:t xml:space="preserve">Projetos arquitetônicos, gestão de obra, aprovações técnicas, controle de custos</w:t>
            </w:r>
          </w:p>
        </w:tc>
        <w:tc>
          <w:p>
            <w:pPr>
              <w:pStyle w:val="Compact"/>
              <w:jc w:val="left"/>
            </w:pPr>
            <w:r>
              <w:t xml:space="preserve">A negociar</w:t>
            </w:r>
          </w:p>
        </w:tc>
      </w:tr>
    </w:tbl>
    <w:p>
      <w:pPr>
        <w:pStyle w:val="BlockText"/>
      </w:pPr>
      <w:r>
        <w:rPr>
          <w:b/>
        </w:rPr>
        <w:t xml:space="preserve">Nota:</w:t>
      </w:r>
      <w:r>
        <w:t xml:space="preserve"> </w:t>
      </w:r>
      <w:r>
        <w:t xml:space="preserve">A divisão percentual deve refletir a proporcionalidade entre aporte de capital, risco assumido e valor técnico entregue. Recomenda-se formalizar via Acordo de Sócios com cláusulas de deadlock, tag-along, drag-along e mecanismos de saída.</w:t>
      </w:r>
    </w:p>
    <w:p>
      <w:pPr>
        <w:pStyle w:val="Heading2"/>
      </w:pPr>
      <w:bookmarkStart w:id="29" w:name="estrutura-jurídica-recomendada"/>
      <w:r>
        <w:t xml:space="preserve">3.2 Estrutura Jurídica Recomendada</w:t>
      </w:r>
      <w:bookmarkEnd w:id="29"/>
    </w:p>
    <w:p>
      <w:pPr>
        <w:pStyle w:val="FirstParagraph"/>
      </w:pPr>
      <w:r>
        <w:rPr>
          <w:b/>
        </w:rPr>
        <w:t xml:space="preserve">Holding Operacional (LTDA ou SAS):</w:t>
      </w:r>
      <w:r>
        <w:t xml:space="preserve"> </w:t>
      </w:r>
      <w:r>
        <w:t xml:space="preserve">Entidade principal que detém o know-how, marca, contratos de prestação de serviço e overhead fixo.</w:t>
      </w:r>
    </w:p>
    <w:p>
      <w:pPr>
        <w:pStyle w:val="BodyText"/>
      </w:pPr>
      <w:r>
        <w:rPr>
          <w:b/>
        </w:rPr>
        <w:t xml:space="preserve">SPE por empreendimento:</w:t>
      </w:r>
      <w:r>
        <w:t xml:space="preserve"> </w:t>
      </w:r>
      <w:r>
        <w:t xml:space="preserve">Para cada projeto, abrir uma SPE (LTDA) separada. Isso permite:</w:t>
      </w:r>
    </w:p>
    <w:p>
      <w:pPr>
        <w:numPr>
          <w:ilvl w:val="0"/>
          <w:numId w:val="1002"/>
        </w:numPr>
        <w:pStyle w:val="Compact"/>
      </w:pPr>
      <w:r>
        <w:t xml:space="preserve">Adoção do Patrimônio de Afetação (Lei 10.931/04)</w:t>
      </w:r>
    </w:p>
    <w:p>
      <w:pPr>
        <w:numPr>
          <w:ilvl w:val="0"/>
          <w:numId w:val="1002"/>
        </w:numPr>
        <w:pStyle w:val="Compact"/>
      </w:pPr>
      <w:r>
        <w:t xml:space="preserve">Enquadramento no RET (4% sobre receita bruta — inclui IRPJ, CSLL, PIS e COFINS)</w:t>
      </w:r>
    </w:p>
    <w:p>
      <w:pPr>
        <w:numPr>
          <w:ilvl w:val="0"/>
          <w:numId w:val="1002"/>
        </w:numPr>
        <w:pStyle w:val="Compact"/>
      </w:pPr>
      <w:r>
        <w:t xml:space="preserve">Segregação total de risco entre empreendimentos</w:t>
      </w:r>
    </w:p>
    <w:p>
      <w:pPr>
        <w:numPr>
          <w:ilvl w:val="0"/>
          <w:numId w:val="1002"/>
        </w:numPr>
        <w:pStyle w:val="Compact"/>
      </w:pPr>
      <w:r>
        <w:t xml:space="preserve">Facilidade para entrada de investidores externos por projeto</w:t>
      </w:r>
    </w:p>
    <w:p>
      <w:pPr>
        <w:pStyle w:val="Heading2"/>
      </w:pPr>
      <w:bookmarkStart w:id="30" w:name="remuneração-dos-sócios-pela-holding"/>
      <w:r>
        <w:t xml:space="preserve">3.3 Remuneração dos Sócios pela Holding</w:t>
      </w:r>
      <w:bookmarkEnd w:id="30"/>
    </w:p>
    <w:p>
      <w:pPr>
        <w:pStyle w:val="FirstParagraph"/>
      </w:pPr>
      <w:r>
        <w:t xml:space="preserve">A Holding presta serviços de incorporação, gestão e coordenação técnica para cada SPE, cobrando taxa de administração (ex.: 5–8% do VGV). Essa é a fonte de receita recorrente da empresa — independente do lucro da SPE.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modelo-de-negócio"/>
      <w:r>
        <w:t xml:space="preserve">4. Modelo de Negócio</w:t>
      </w:r>
      <w:bookmarkEnd w:id="31"/>
    </w:p>
    <w:p>
      <w:pPr>
        <w:pStyle w:val="Heading2"/>
      </w:pPr>
      <w:bookmarkStart w:id="32" w:name="Xd57388bb187def4bbb22369801ea70fa8606ac3"/>
      <w:r>
        <w:t xml:space="preserve">4.1 Tipologia de Empreendimentos (Fase Inicial)</w:t>
      </w:r>
      <w:bookmarkEnd w:id="32"/>
    </w:p>
    <w:p>
      <w:pPr>
        <w:pStyle w:val="FirstParagraph"/>
      </w:pPr>
      <w:r>
        <w:t xml:space="preserve">Para os primeiros 1 a 2 projetos, recomenda-se focar em: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Residencial vertical de pequeno/médio porte</w:t>
      </w:r>
      <w:r>
        <w:t xml:space="preserve"> </w:t>
      </w:r>
      <w:r>
        <w:t xml:space="preserve">(8 a 20 unidades): menor complexidade operacional, aprovação mais ágil, demanda aquecida em mercados regionais.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Localização:</w:t>
      </w:r>
      <w:r>
        <w:t xml:space="preserve"> </w:t>
      </w:r>
      <w:r>
        <w:t xml:space="preserve">municípios com déficit habitacional comprovado, crescimento populacional e acesso a financiamento CEF (MCMV ou linha comercial).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Ticket médio:</w:t>
      </w:r>
      <w:r>
        <w:t xml:space="preserve"> </w:t>
      </w:r>
      <w:r>
        <w:t xml:space="preserve">compatível com o perfil de comprador com acesso a financiamento bancário (faixa R$ 300k–R$ 700k por unidade, dependendo do mercado).</w:t>
      </w:r>
    </w:p>
    <w:p>
      <w:pPr>
        <w:pStyle w:val="Heading2"/>
      </w:pPr>
      <w:bookmarkStart w:id="33" w:name="estratégias-de-aquisição-de-terrenos"/>
      <w:r>
        <w:t xml:space="preserve">4.2 Estratégias de Aquisição de Terrenos</w:t>
      </w:r>
      <w:bookmarkEnd w:id="33"/>
    </w:p>
    <w:p>
      <w:pPr>
        <w:pStyle w:val="FirstParagraph"/>
      </w:pPr>
      <w:r>
        <w:rPr>
          <w:b/>
        </w:rPr>
        <w:t xml:space="preserve">Compra direta (capital próprio ou consórcio):</w:t>
      </w:r>
      <w:r>
        <w:t xml:space="preserve"> </w:t>
      </w:r>
      <w:r>
        <w:t xml:space="preserve">Para terrenos com preço de mercado validado e viabilidade clara.</w:t>
      </w:r>
    </w:p>
    <w:p>
      <w:pPr>
        <w:pStyle w:val="BodyText"/>
      </w:pPr>
      <w:r>
        <w:rPr>
          <w:b/>
        </w:rPr>
        <w:t xml:space="preserve">Permuta física:</w:t>
      </w:r>
      <w:r>
        <w:t xml:space="preserve"> </w:t>
      </w:r>
      <w:r>
        <w:t xml:space="preserve">O proprietário do terreno recebe unidades do empreendimento ao invés de dinheiro. Vantagens: reduz o caixa necessário no início, alinha incentivos do permutante com a velocidade de vendas.</w:t>
      </w:r>
    </w:p>
    <w:p>
      <w:pPr>
        <w:pStyle w:val="BodyText"/>
      </w:pPr>
      <w:r>
        <w:rPr>
          <w:b/>
        </w:rPr>
        <w:t xml:space="preserve">Permuta financeira:</w:t>
      </w:r>
      <w:r>
        <w:t xml:space="preserve"> </w:t>
      </w:r>
      <w:r>
        <w:t xml:space="preserve">O proprietário recebe percentual do VGV em dinheiro ao longo do projeto. Menos comum, mas viável em mercados competitivos.</w:t>
      </w:r>
    </w:p>
    <w:p>
      <w:pPr>
        <w:pStyle w:val="BodyText"/>
      </w:pPr>
      <w:r>
        <w:rPr>
          <w:b/>
        </w:rPr>
        <w:t xml:space="preserve">Consórcio imobiliário:</w:t>
      </w:r>
      <w:r>
        <w:t xml:space="preserve"> </w:t>
      </w:r>
      <w:r>
        <w:t xml:space="preserve">Utilizar crédito de consórcio contemplado (próprio ou de terceiros) para aquisição de terrenos com deságio. Requer planejamento de prazo e disponibilidade de carta contemplada.</w:t>
      </w:r>
    </w:p>
    <w:p>
      <w:pPr>
        <w:pStyle w:val="Heading2"/>
      </w:pPr>
      <w:bookmarkStart w:id="34" w:name="estratégia-de-financiamento-de-obra"/>
      <w:r>
        <w:t xml:space="preserve">4.3 Estratégia de Financiamento de Obra</w:t>
      </w:r>
      <w:bookmarkEnd w:id="34"/>
    </w:p>
    <w:p>
      <w:pPr>
        <w:pStyle w:val="FirstParagraph"/>
      </w:pPr>
      <w:r>
        <w:rPr>
          <w:b/>
        </w:rPr>
        <w:t xml:space="preserve">Financiamento à produção pela CEF (linha FGTS/SBPE):</w:t>
      </w:r>
      <w:r>
        <w:t xml:space="preserve"> </w:t>
      </w:r>
      <w:r>
        <w:t xml:space="preserve">Principal alavanca financeira. A CEF financia até 80% do custo de obra aprovado, com liberações por medição. Exige:</w:t>
      </w:r>
    </w:p>
    <w:p>
      <w:pPr>
        <w:numPr>
          <w:ilvl w:val="0"/>
          <w:numId w:val="1004"/>
        </w:numPr>
        <w:pStyle w:val="Compact"/>
      </w:pPr>
      <w:r>
        <w:t xml:space="preserve">Patrimônio de Afetação constituído</w:t>
      </w:r>
    </w:p>
    <w:p>
      <w:pPr>
        <w:numPr>
          <w:ilvl w:val="0"/>
          <w:numId w:val="1004"/>
        </w:numPr>
        <w:pStyle w:val="Compact"/>
      </w:pPr>
      <w:r>
        <w:t xml:space="preserve">30% de vendas realizadas antes da contratação (em muitos produtos)</w:t>
      </w:r>
    </w:p>
    <w:p>
      <w:pPr>
        <w:numPr>
          <w:ilvl w:val="0"/>
          <w:numId w:val="1004"/>
        </w:numPr>
        <w:pStyle w:val="Compact"/>
      </w:pPr>
      <w:r>
        <w:t xml:space="preserve">CNPJ da SPE com histórico limpo</w:t>
      </w:r>
    </w:p>
    <w:p>
      <w:pPr>
        <w:numPr>
          <w:ilvl w:val="0"/>
          <w:numId w:val="1004"/>
        </w:numPr>
        <w:pStyle w:val="Compact"/>
      </w:pPr>
      <w:r>
        <w:t xml:space="preserve">Projetos aprovados na prefeitura</w:t>
      </w:r>
    </w:p>
    <w:p>
      <w:pPr>
        <w:pStyle w:val="FirstParagraph"/>
      </w:pPr>
      <w:r>
        <w:rPr>
          <w:b/>
        </w:rPr>
        <w:t xml:space="preserve">Capital próprio:</w:t>
      </w:r>
      <w:r>
        <w:t xml:space="preserve"> </w:t>
      </w:r>
      <w:r>
        <w:t xml:space="preserve">Utilizado na fase pré-obra (aquisição do terreno, projetos, aprovações, marketing de lançamento) e como contrapartida ao financiamento CEF.</w:t>
      </w:r>
    </w:p>
    <w:p>
      <w:pPr>
        <w:pStyle w:val="Heading2"/>
      </w:pPr>
      <w:bookmarkStart w:id="35" w:name="fluxo-do-empreendimento-macroprocesso"/>
      <w:r>
        <w:t xml:space="preserve">4.4 Fluxo do Empreendimento (Macroprocesso)</w:t>
      </w:r>
      <w:bookmarkEnd w:id="3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Prospecção e análise de terrenos</w:t>
      </w:r>
      <w:r>
        <w:t xml:space="preserve"> </w:t>
      </w:r>
      <w:r>
        <w:t xml:space="preserve">→ Score de viabilidade técnica e financeira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Estruturação da aquisição</w:t>
      </w:r>
      <w:r>
        <w:t xml:space="preserve"> </w:t>
      </w:r>
      <w:r>
        <w:t xml:space="preserve">→ Permuta, compra direta ou consórcio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Desenvolvimento do produto</w:t>
      </w:r>
      <w:r>
        <w:t xml:space="preserve"> </w:t>
      </w:r>
      <w:r>
        <w:t xml:space="preserve">→ Projeto arquitetônico, implantação, memorial descritivo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Aprovações e licenças</w:t>
      </w:r>
      <w:r>
        <w:t xml:space="preserve"> </w:t>
      </w:r>
      <w:r>
        <w:t xml:space="preserve">→ Prefeitura, bombeiros, INSS, registro de incorporação no CRI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Lançamento comercial</w:t>
      </w:r>
      <w:r>
        <w:t xml:space="preserve"> </w:t>
      </w:r>
      <w:r>
        <w:t xml:space="preserve">→ Plantão de vendas, corretores parceiros, marketing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Contratação do financiamento CEF</w:t>
      </w:r>
      <w:r>
        <w:t xml:space="preserve"> </w:t>
      </w:r>
      <w:r>
        <w:t xml:space="preserve">→ Após atingir % mínimo de vendas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Execução da obra</w:t>
      </w:r>
      <w:r>
        <w:t xml:space="preserve"> </w:t>
      </w:r>
      <w:r>
        <w:t xml:space="preserve">→ Controle de cronograma e custo pelo sócio técnico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Entrega e pós-venda</w:t>
      </w:r>
      <w:r>
        <w:t xml:space="preserve"> </w:t>
      </w:r>
      <w:r>
        <w:t xml:space="preserve">→ Habite-se, averbação, escrituração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estratégia-de-captação-de-recursos"/>
      <w:r>
        <w:t xml:space="preserve">5. Estratégia de Captação de Recursos</w:t>
      </w:r>
      <w:bookmarkEnd w:id="36"/>
    </w:p>
    <w:p>
      <w:pPr>
        <w:pStyle w:val="Heading2"/>
      </w:pPr>
      <w:bookmarkStart w:id="37" w:name="capital-próprio"/>
      <w:r>
        <w:t xml:space="preserve">5.1 Capital Próprio</w:t>
      </w:r>
      <w:bookmarkEnd w:id="37"/>
    </w:p>
    <w:p>
      <w:pPr>
        <w:pStyle w:val="FirstParagraph"/>
      </w:pPr>
      <w:r>
        <w:t xml:space="preserve">Utilizado nas fases de maior risco (pré-aprovação): aquisição do terreno, desenvolvimento do projeto, aprovações municipais e campanhas de pré-lançamento. É o capital que</w:t>
      </w:r>
      <w:r>
        <w:t xml:space="preserve"> </w:t>
      </w:r>
      <w:r>
        <w:t xml:space="preserve">“</w:t>
      </w:r>
      <w:r>
        <w:t xml:space="preserve">desbloqueia</w:t>
      </w:r>
      <w:r>
        <w:t xml:space="preserve">”</w:t>
      </w:r>
      <w:r>
        <w:t xml:space="preserve"> </w:t>
      </w:r>
      <w:r>
        <w:t xml:space="preserve">o financiamento bancário.</w:t>
      </w:r>
    </w:p>
    <w:p>
      <w:pPr>
        <w:pStyle w:val="BodyText"/>
      </w:pPr>
      <w:r>
        <w:rPr>
          <w:b/>
        </w:rPr>
        <w:t xml:space="preserve">Risco:</w:t>
      </w:r>
      <w:r>
        <w:t xml:space="preserve"> </w:t>
      </w:r>
      <w:r>
        <w:t xml:space="preserve">Capital imobilizado por 12–24 meses antes do primeiro retorno. Gestão criteriosa do fluxo é essencial.</w:t>
      </w:r>
    </w:p>
    <w:p>
      <w:pPr>
        <w:pStyle w:val="Heading2"/>
      </w:pPr>
      <w:bookmarkStart w:id="38" w:name="consórcio-imobiliário"/>
      <w:r>
        <w:t xml:space="preserve">5.2 Consórcio Imobiliário</w:t>
      </w:r>
      <w:bookmarkEnd w:id="38"/>
    </w:p>
    <w:p>
      <w:pPr>
        <w:pStyle w:val="FirstParagraph"/>
      </w:pPr>
      <w:r>
        <w:t xml:space="preserve">Estratégia para otimizar o uso de capital próprio na aquisição de terrenos. O crédito de consórcio contemplado pode ser utilizado para:</w:t>
      </w:r>
    </w:p>
    <w:p>
      <w:pPr>
        <w:numPr>
          <w:ilvl w:val="0"/>
          <w:numId w:val="1006"/>
        </w:numPr>
        <w:pStyle w:val="Compact"/>
      </w:pPr>
      <w:r>
        <w:t xml:space="preserve">Compra direta de terreno (mais comum)</w:t>
      </w:r>
    </w:p>
    <w:p>
      <w:pPr>
        <w:numPr>
          <w:ilvl w:val="0"/>
          <w:numId w:val="1006"/>
        </w:numPr>
        <w:pStyle w:val="Compact"/>
      </w:pPr>
      <w:r>
        <w:t xml:space="preserve">Quitação parcial de permuta financeira</w:t>
      </w:r>
    </w:p>
    <w:p>
      <w:pPr>
        <w:pStyle w:val="FirstParagraph"/>
      </w:pPr>
      <w:r>
        <w:rPr>
          <w:b/>
        </w:rPr>
        <w:t xml:space="preserve">Vantagem:</w:t>
      </w:r>
      <w:r>
        <w:t xml:space="preserve"> </w:t>
      </w:r>
      <w:r>
        <w:t xml:space="preserve">Taxa de administração do consórcio é menor que juros de financiamento convencional.</w:t>
      </w:r>
    </w:p>
    <w:p>
      <w:pPr>
        <w:pStyle w:val="BodyText"/>
      </w:pPr>
      <w:r>
        <w:rPr>
          <w:b/>
        </w:rPr>
        <w:t xml:space="preserve">Atenção:</w:t>
      </w:r>
      <w:r>
        <w:t xml:space="preserve"> </w:t>
      </w:r>
      <w:r>
        <w:t xml:space="preserve">O prazo de contemplação é incerto. Planejar com cenários de prazo mínimo e máximo.</w:t>
      </w:r>
    </w:p>
    <w:p>
      <w:pPr>
        <w:pStyle w:val="Heading2"/>
      </w:pPr>
      <w:bookmarkStart w:id="39" w:name="financiamento-de-obra-cef"/>
      <w:r>
        <w:t xml:space="preserve">5.3 Financiamento de Obra (CEF)</w:t>
      </w:r>
      <w:bookmarkEnd w:id="39"/>
    </w:p>
    <w:p>
      <w:pPr>
        <w:pStyle w:val="FirstParagraph"/>
      </w:pPr>
      <w:r>
        <w:t xml:space="preserve">Principal instrumento de alavancagem. A CEF libera o recurso conforme o avanço físico da obra, medido por laudo de engenharia. O saldo devedor é quitado com o produto das vendas (repasse bancário dos compradores).</w:t>
      </w:r>
    </w:p>
    <w:p>
      <w:pPr>
        <w:pStyle w:val="BodyText"/>
      </w:pPr>
      <w:r>
        <w:rPr>
          <w:b/>
        </w:rPr>
        <w:t xml:space="preserve">Produto recomendado para início:</w:t>
      </w:r>
      <w:r>
        <w:t xml:space="preserve"> </w:t>
      </w:r>
      <w:r>
        <w:t xml:space="preserve">Crédito Associativo CEF (para empreendimentos MCMV Faixa 2/3) ou Linha Tradicional SBPE para médio padrão.</w:t>
      </w:r>
    </w:p>
    <w:p>
      <w:pPr>
        <w:pStyle w:val="Heading2"/>
      </w:pPr>
      <w:bookmarkStart w:id="40" w:name="permuta-com-proprietários-de-terrenos"/>
      <w:r>
        <w:t xml:space="preserve">5.4 Permuta com Proprietários de Terrenos</w:t>
      </w:r>
      <w:bookmarkEnd w:id="40"/>
    </w:p>
    <w:p>
      <w:pPr>
        <w:pStyle w:val="FirstParagraph"/>
      </w:pPr>
      <w:r>
        <w:t xml:space="preserve">Mecanismo poderoso para reduzir o capital inicial. O proprietário entra com o terreno e sai com unidades ou % do VGV. A incorporadora entra com o desenvolvimento e saí com o lucro sobre o restante das unidades.</w:t>
      </w:r>
    </w:p>
    <w:p>
      <w:pPr>
        <w:pStyle w:val="BodyText"/>
      </w:pPr>
      <w:r>
        <w:rPr>
          <w:b/>
        </w:rPr>
        <w:t xml:space="preserve">Ponto crítico:</w:t>
      </w:r>
      <w:r>
        <w:t xml:space="preserve"> </w:t>
      </w:r>
      <w:r>
        <w:t xml:space="preserve">O contrato de permuta deve ser redigido com extremo cuidado — cláusulas de rescisão, obrigações de entrega, prazos e garantias precisam estar blindados juridicamente.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X183a321d1ef43bb5710d21283993459e6f4a528"/>
      <w:r>
        <w:t xml:space="preserve">6. Tributação — Regime Especial de Tributação (RET)</w:t>
      </w:r>
      <w:bookmarkEnd w:id="41"/>
    </w:p>
    <w:p>
      <w:pPr>
        <w:pStyle w:val="Heading2"/>
      </w:pPr>
      <w:bookmarkStart w:id="42" w:name="o-que-é-o-ret"/>
      <w:r>
        <w:t xml:space="preserve">6.1 O que é o RET</w:t>
      </w:r>
      <w:bookmarkEnd w:id="42"/>
    </w:p>
    <w:p>
      <w:pPr>
        <w:pStyle w:val="FirstParagraph"/>
      </w:pPr>
      <w:r>
        <w:t xml:space="preserve">O RET (Lei 10.931/04) permite que incorporadoras com Patrimônio de Afetação recolham um percentual único de</w:t>
      </w:r>
      <w:r>
        <w:t xml:space="preserve"> </w:t>
      </w:r>
      <w:r>
        <w:rPr>
          <w:b/>
        </w:rPr>
        <w:t xml:space="preserve">4% sobre a receita mensal auferida</w:t>
      </w:r>
      <w:r>
        <w:t xml:space="preserve"> </w:t>
      </w:r>
      <w:r>
        <w:t xml:space="preserve">(em substituição a IRPJ, CSLL, PIS e COFINS).</w:t>
      </w:r>
    </w:p>
    <w:p>
      <w:pPr>
        <w:pStyle w:val="Heading2"/>
      </w:pPr>
      <w:bookmarkStart w:id="43" w:name="requisitos"/>
      <w:r>
        <w:t xml:space="preserve">6.2 Requisitos</w:t>
      </w:r>
      <w:bookmarkEnd w:id="43"/>
    </w:p>
    <w:p>
      <w:pPr>
        <w:numPr>
          <w:ilvl w:val="0"/>
          <w:numId w:val="1007"/>
        </w:numPr>
        <w:pStyle w:val="Compact"/>
      </w:pPr>
      <w:r>
        <w:t xml:space="preserve">Adoção do Patrimônio de Afetação para o empreendimento</w:t>
      </w:r>
    </w:p>
    <w:p>
      <w:pPr>
        <w:numPr>
          <w:ilvl w:val="0"/>
          <w:numId w:val="1007"/>
        </w:numPr>
        <w:pStyle w:val="Compact"/>
      </w:pPr>
      <w:r>
        <w:t xml:space="preserve">Registro da opção pelo RET na Receita Federal</w:t>
      </w:r>
    </w:p>
    <w:p>
      <w:pPr>
        <w:numPr>
          <w:ilvl w:val="0"/>
          <w:numId w:val="1007"/>
        </w:numPr>
        <w:pStyle w:val="Compact"/>
      </w:pPr>
      <w:r>
        <w:t xml:space="preserve">Empreendimento registrado no CRI como incorporação</w:t>
      </w:r>
    </w:p>
    <w:p>
      <w:pPr>
        <w:numPr>
          <w:ilvl w:val="0"/>
          <w:numId w:val="1007"/>
        </w:numPr>
        <w:pStyle w:val="Compact"/>
      </w:pPr>
      <w:r>
        <w:t xml:space="preserve">CNPJ próprio da SPE</w:t>
      </w:r>
    </w:p>
    <w:p>
      <w:pPr>
        <w:pStyle w:val="Heading2"/>
      </w:pPr>
      <w:bookmarkStart w:id="44" w:name="vantagem-competitiva"/>
      <w:r>
        <w:t xml:space="preserve">6.3 Vantagem Competitiva</w:t>
      </w:r>
      <w:bookmarkEnd w:id="44"/>
    </w:p>
    <w:p>
      <w:pPr>
        <w:pStyle w:val="FirstParagraph"/>
      </w:pPr>
      <w:r>
        <w:t xml:space="preserve">Sem o RET, a carga tributária sobre o lucro de incorporação pode ultrapassar 25–34%. Com o RET a 4% sobre a receita, a carga efetiva é significativamente reduzida — especialmente em empreendimentos com margem elevada.</w:t>
      </w:r>
    </w:p>
    <w:p>
      <w:pPr>
        <w:pStyle w:val="BodyText"/>
      </w:pPr>
      <w:r>
        <w:rPr>
          <w:b/>
        </w:rPr>
        <w:t xml:space="preserve">Atenção:</w:t>
      </w:r>
      <w:r>
        <w:t xml:space="preserve"> </w:t>
      </w:r>
      <w:r>
        <w:t xml:space="preserve">O RET é irrevogável por empreendimento. Uma vez optado, aplica-se a toda a receita da SPE até a entrega do último apartamento.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análise-de-mercado"/>
      <w:r>
        <w:t xml:space="preserve">7. Análise de Mercado</w:t>
      </w:r>
      <w:bookmarkEnd w:id="45"/>
    </w:p>
    <w:p>
      <w:pPr>
        <w:pStyle w:val="Heading2"/>
      </w:pPr>
      <w:bookmarkStart w:id="46" w:name="contexto-macroeconômico"/>
      <w:r>
        <w:t xml:space="preserve">7.1 Contexto Macroeconômico</w:t>
      </w:r>
      <w:bookmarkEnd w:id="46"/>
    </w:p>
    <w:p>
      <w:pPr>
        <w:pStyle w:val="FirstParagraph"/>
      </w:pPr>
      <w:r>
        <w:t xml:space="preserve">O mercado imobiliário brasileiro mantém demanda estrutural elevada, impulsionado por:</w:t>
      </w:r>
    </w:p>
    <w:p>
      <w:pPr>
        <w:numPr>
          <w:ilvl w:val="0"/>
          <w:numId w:val="1008"/>
        </w:numPr>
        <w:pStyle w:val="Compact"/>
      </w:pPr>
      <w:r>
        <w:t xml:space="preserve">Déficit habitacional de mais de 8 milhões de unidades (FGV, 2023)</w:t>
      </w:r>
    </w:p>
    <w:p>
      <w:pPr>
        <w:numPr>
          <w:ilvl w:val="0"/>
          <w:numId w:val="1008"/>
        </w:numPr>
        <w:pStyle w:val="Compact"/>
      </w:pPr>
      <w:r>
        <w:t xml:space="preserve">Crescimento da renda formal em mercados regionais</w:t>
      </w:r>
    </w:p>
    <w:p>
      <w:pPr>
        <w:numPr>
          <w:ilvl w:val="0"/>
          <w:numId w:val="1008"/>
        </w:numPr>
        <w:pStyle w:val="Compact"/>
      </w:pPr>
      <w:r>
        <w:t xml:space="preserve">MCMV ativo com subsídio federal para faixas de renda 2 e 3</w:t>
      </w:r>
    </w:p>
    <w:p>
      <w:pPr>
        <w:numPr>
          <w:ilvl w:val="0"/>
          <w:numId w:val="1008"/>
        </w:numPr>
        <w:pStyle w:val="Compact"/>
      </w:pPr>
      <w:r>
        <w:t xml:space="preserve">Taxa Selic em trajetória que impacta diretamente o crédito imobiliário</w:t>
      </w:r>
    </w:p>
    <w:p>
      <w:pPr>
        <w:pStyle w:val="Heading2"/>
      </w:pPr>
      <w:bookmarkStart w:id="47" w:name="riscos-macro"/>
      <w:r>
        <w:t xml:space="preserve">7.2 Riscos Macro</w:t>
      </w:r>
      <w:bookmarkEnd w:id="4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Alta de juros:</w:t>
      </w:r>
      <w:r>
        <w:t xml:space="preserve"> </w:t>
      </w:r>
      <w:r>
        <w:t xml:space="preserve">encarece o financiamento do comprador final e reduz demanda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Inflação de insumos:</w:t>
      </w:r>
      <w:r>
        <w:t xml:space="preserve"> </w:t>
      </w:r>
      <w:r>
        <w:t xml:space="preserve">INCC acima do IPCA corrói a margem de obra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Desaceleração do emprego:</w:t>
      </w:r>
      <w:r>
        <w:t xml:space="preserve"> </w:t>
      </w:r>
      <w:r>
        <w:t xml:space="preserve">reduz poder aquisitivo do comprador-alvo</w:t>
      </w:r>
    </w:p>
    <w:p>
      <w:pPr>
        <w:pStyle w:val="Heading2"/>
      </w:pPr>
      <w:bookmarkStart w:id="48" w:name="posicionamento-estratégico"/>
      <w:r>
        <w:t xml:space="preserve">7.3 Posicionamento Estratégico</w:t>
      </w:r>
      <w:bookmarkEnd w:id="48"/>
    </w:p>
    <w:p>
      <w:pPr>
        <w:pStyle w:val="FirstParagraph"/>
      </w:pPr>
      <w:r>
        <w:t xml:space="preserve">Para os primeiros empreendimentos, focar em mercados com:</w:t>
      </w:r>
    </w:p>
    <w:p>
      <w:pPr>
        <w:numPr>
          <w:ilvl w:val="0"/>
          <w:numId w:val="1010"/>
        </w:numPr>
        <w:pStyle w:val="Compact"/>
      </w:pPr>
      <w:r>
        <w:t xml:space="preserve">Alta demanda reprimida e baixa oferta de concorrentes locais</w:t>
      </w:r>
    </w:p>
    <w:p>
      <w:pPr>
        <w:numPr>
          <w:ilvl w:val="0"/>
          <w:numId w:val="1010"/>
        </w:numPr>
        <w:pStyle w:val="Compact"/>
      </w:pPr>
      <w:r>
        <w:t xml:space="preserve">Preço médio por m² compatível com financiamento CEF</w:t>
      </w:r>
    </w:p>
    <w:p>
      <w:pPr>
        <w:numPr>
          <w:ilvl w:val="0"/>
          <w:numId w:val="1010"/>
        </w:numPr>
        <w:pStyle w:val="Compact"/>
      </w:pPr>
      <w:r>
        <w:t xml:space="preserve">Infraestrutura de corretagem local ativa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gestão-de-riscos"/>
      <w:r>
        <w:t xml:space="preserve">8. Gestão de Riscos</w:t>
      </w:r>
      <w:bookmarkEnd w:id="49"/>
    </w:p>
    <w:p>
      <w:pPr>
        <w:pStyle w:val="Heading2"/>
      </w:pPr>
      <w:bookmarkStart w:id="50" w:name="mapa-de-riscos-por-categoria"/>
      <w:r>
        <w:t xml:space="preserve">8.1 Mapa de Riscos por Categoria</w:t>
      </w:r>
      <w:bookmarkEnd w:id="5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Atraso em aprovações municipais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Contratar despachante especializado; iniciar processo antes da compra do terreno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Estourar orçamento de obra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Orçamento com contingência de 10–15%; contrato de obra com BDI definido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Velocidade de vendas abaixo do previsto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Lançar só com pré-venda mínima de 30% das unidades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Inadimplência do comprador</w:t>
            </w:r>
          </w:p>
        </w:tc>
        <w:tc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p>
            <w:pPr>
              <w:pStyle w:val="Compact"/>
              <w:jc w:val="left"/>
            </w:pPr>
            <w:r>
              <w:t xml:space="preserve">Parceria com banco (repasse bancário) minimiza risco; análise de crédito rigorosa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Conflito entre sócios</w:t>
            </w:r>
          </w:p>
        </w:tc>
        <w:tc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p>
            <w:pPr>
              <w:pStyle w:val="Compact"/>
              <w:jc w:val="left"/>
            </w:pPr>
            <w:r>
              <w:t xml:space="preserve">Muito Alto</w:t>
            </w:r>
          </w:p>
        </w:tc>
        <w:tc>
          <w:p>
            <w:pPr>
              <w:pStyle w:val="Compact"/>
              <w:jc w:val="left"/>
            </w:pPr>
            <w:r>
              <w:t xml:space="preserve">Acordo de Sócios detalhado; mediação como cláusula obrigatória antes de litígio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Reprovação do financiamento CEF</w:t>
            </w:r>
          </w:p>
        </w:tc>
        <w:tc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Pré-validar projeto com engenheiro CEF antes do lançamento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Problema com terreno (escritura, ITBI, dívidas)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Muito Alto</w:t>
            </w:r>
          </w:p>
        </w:tc>
        <w:tc>
          <w:p>
            <w:pPr>
              <w:pStyle w:val="Compact"/>
              <w:jc w:val="left"/>
            </w:pPr>
            <w:r>
              <w:t xml:space="preserve">Due diligence jurídica completa antes de qualquer sinal</w:t>
            </w:r>
          </w:p>
        </w:tc>
      </w:tr>
    </w:tbl>
    <w:p>
      <w:pPr>
        <w:pStyle w:val="Heading2"/>
      </w:pPr>
      <w:bookmarkStart w:id="51" w:name="gatilhos-de-decisão-gono-go-por-fase"/>
      <w:r>
        <w:t xml:space="preserve">8.2 Gatilhos de Decisão (Go/No-Go por Fase)</w:t>
      </w:r>
      <w:bookmarkEnd w:id="51"/>
    </w:p>
    <w:p>
      <w:pPr>
        <w:pStyle w:val="FirstParagraph"/>
      </w:pPr>
      <w:r>
        <w:rPr>
          <w:b/>
        </w:rPr>
        <w:t xml:space="preserve">Compra do terreno:</w:t>
      </w:r>
      <w:r>
        <w:t xml:space="preserve"> </w:t>
      </w:r>
      <w:r>
        <w:t xml:space="preserve">Somente após análise de viabilidade aprovada, due diligence limpa e VGV mínimo calculado.</w:t>
      </w:r>
    </w:p>
    <w:p>
      <w:pPr>
        <w:pStyle w:val="BodyText"/>
      </w:pPr>
      <w:r>
        <w:rPr>
          <w:b/>
        </w:rPr>
        <w:t xml:space="preserve">Lançamento comercial:</w:t>
      </w:r>
      <w:r>
        <w:t xml:space="preserve"> </w:t>
      </w:r>
      <w:r>
        <w:t xml:space="preserve">Somente após projeto aprovado na prefeitura (ou CAP emitida) e registro da incorporação no CRI.</w:t>
      </w:r>
    </w:p>
    <w:p>
      <w:pPr>
        <w:pStyle w:val="BodyText"/>
      </w:pPr>
      <w:r>
        <w:rPr>
          <w:b/>
        </w:rPr>
        <w:t xml:space="preserve">Início de obra:</w:t>
      </w:r>
      <w:r>
        <w:t xml:space="preserve"> </w:t>
      </w:r>
      <w:r>
        <w:t xml:space="preserve">Somente após atingir % mínimo de vendas e financiamento CEF contratado.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2" w:name="governança-e-gestão"/>
      <w:r>
        <w:t xml:space="preserve">9. Governança e Gestão</w:t>
      </w:r>
      <w:bookmarkEnd w:id="52"/>
    </w:p>
    <w:p>
      <w:pPr>
        <w:pStyle w:val="Heading2"/>
      </w:pPr>
      <w:bookmarkStart w:id="53" w:name="papéis-definidos-dos-sócios"/>
      <w:r>
        <w:t xml:space="preserve">9.1 Papéis Definidos dos Sócios</w:t>
      </w:r>
      <w:bookmarkEnd w:id="53"/>
    </w:p>
    <w:p>
      <w:pPr>
        <w:pStyle w:val="FirstParagraph"/>
      </w:pPr>
      <w:r>
        <w:rPr>
          <w:b/>
        </w:rPr>
        <w:t xml:space="preserve">Sócio Jurídico/Estratégico:</w:t>
      </w:r>
      <w:r>
        <w:t xml:space="preserve"> </w:t>
      </w:r>
      <w:r>
        <w:t xml:space="preserve">Responsável por contratos, relação com bancos e cartórios, estruturação de SPEs, captação de recursos, relação com corretoras, análise financeira de viabilidade e decisões estratégicas.</w:t>
      </w:r>
    </w:p>
    <w:p>
      <w:pPr>
        <w:pStyle w:val="BodyText"/>
      </w:pPr>
      <w:r>
        <w:rPr>
          <w:b/>
        </w:rPr>
        <w:t xml:space="preserve">Sócio Técnico:</w:t>
      </w:r>
      <w:r>
        <w:t xml:space="preserve"> </w:t>
      </w:r>
      <w:r>
        <w:t xml:space="preserve">Responsável por desenvolvimento de produto (projeto), aprovações técnicas, gestão de obra, controle de cronograma e custo, laudos de medição, entrega e pós-obra.</w:t>
      </w:r>
    </w:p>
    <w:p>
      <w:pPr>
        <w:pStyle w:val="Heading2"/>
      </w:pPr>
      <w:bookmarkStart w:id="54" w:name="X0ac5900d57d6b9a7a92a5666c82c8d55ba81336"/>
      <w:r>
        <w:t xml:space="preserve">9.2 Decisões Compartilhadas (aprovação de ambos)</w:t>
      </w:r>
      <w:bookmarkEnd w:id="54"/>
    </w:p>
    <w:p>
      <w:pPr>
        <w:numPr>
          <w:ilvl w:val="0"/>
          <w:numId w:val="1011"/>
        </w:numPr>
        <w:pStyle w:val="Compact"/>
      </w:pPr>
      <w:r>
        <w:t xml:space="preserve">Aquisição de qualquer terreno</w:t>
      </w:r>
    </w:p>
    <w:p>
      <w:pPr>
        <w:numPr>
          <w:ilvl w:val="0"/>
          <w:numId w:val="1011"/>
        </w:numPr>
        <w:pStyle w:val="Compact"/>
      </w:pPr>
      <w:r>
        <w:t xml:space="preserve">Contratação de financiamento</w:t>
      </w:r>
    </w:p>
    <w:p>
      <w:pPr>
        <w:numPr>
          <w:ilvl w:val="0"/>
          <w:numId w:val="1011"/>
        </w:numPr>
        <w:pStyle w:val="Compact"/>
      </w:pPr>
      <w:r>
        <w:t xml:space="preserve">Abertura de novas SPEs</w:t>
      </w:r>
    </w:p>
    <w:p>
      <w:pPr>
        <w:numPr>
          <w:ilvl w:val="0"/>
          <w:numId w:val="1011"/>
        </w:numPr>
        <w:pStyle w:val="Compact"/>
      </w:pPr>
      <w:r>
        <w:t xml:space="preserve">Contratação de empreiteiras acima de valor a definir</w:t>
      </w:r>
    </w:p>
    <w:p>
      <w:pPr>
        <w:numPr>
          <w:ilvl w:val="0"/>
          <w:numId w:val="1011"/>
        </w:numPr>
        <w:pStyle w:val="Compact"/>
      </w:pPr>
      <w:r>
        <w:t xml:space="preserve">Alteração do produto após lançamento</w:t>
      </w:r>
    </w:p>
    <w:p>
      <w:pPr>
        <w:pStyle w:val="Heading2"/>
      </w:pPr>
      <w:bookmarkStart w:id="55" w:name="instrumentos-de-controle"/>
      <w:r>
        <w:t xml:space="preserve">9.3 Instrumentos de Controle</w:t>
      </w:r>
      <w:bookmarkEnd w:id="55"/>
    </w:p>
    <w:p>
      <w:pPr>
        <w:numPr>
          <w:ilvl w:val="0"/>
          <w:numId w:val="1012"/>
        </w:numPr>
        <w:pStyle w:val="Compact"/>
      </w:pPr>
      <w:r>
        <w:t xml:space="preserve">Reunião quinzenal de gestão com ata registrada</w:t>
      </w:r>
    </w:p>
    <w:p>
      <w:pPr>
        <w:numPr>
          <w:ilvl w:val="0"/>
          <w:numId w:val="1012"/>
        </w:numPr>
        <w:pStyle w:val="Compact"/>
      </w:pPr>
      <w:r>
        <w:t xml:space="preserve">Relatório mensal de obra (com fotos e avanço físico)</w:t>
      </w:r>
    </w:p>
    <w:p>
      <w:pPr>
        <w:numPr>
          <w:ilvl w:val="0"/>
          <w:numId w:val="1012"/>
        </w:numPr>
        <w:pStyle w:val="Compact"/>
      </w:pPr>
      <w:r>
        <w:t xml:space="preserve">Fluxo de caixa atualizado semanalmente por projeto</w:t>
      </w:r>
    </w:p>
    <w:p>
      <w:pPr>
        <w:numPr>
          <w:ilvl w:val="0"/>
          <w:numId w:val="1012"/>
        </w:numPr>
        <w:pStyle w:val="Compact"/>
      </w:pPr>
      <w:r>
        <w:t xml:space="preserve">Dashboard de vendas atualizado mensalmente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metas-e-indicadores-kpis"/>
      <w:r>
        <w:t xml:space="preserve">10. Metas e Indicadores (KPIs)</w:t>
      </w:r>
      <w:bookmarkEnd w:id="56"/>
    </w:p>
    <w:p>
      <w:pPr>
        <w:pStyle w:val="Heading2"/>
      </w:pPr>
      <w:bookmarkStart w:id="57" w:name="Xc031c8a8e1f565e2d26a28f787c780d1d366667"/>
      <w:r>
        <w:t xml:space="preserve">10.1 Indicadores Financeiros por Empreendimento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Benchmark de Mercado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 Interna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Margem Bruta sobre VGV</w:t>
            </w:r>
          </w:p>
        </w:tc>
        <w:tc>
          <w:p>
            <w:pPr>
              <w:pStyle w:val="Compact"/>
              <w:jc w:val="left"/>
            </w:pPr>
            <w:r>
              <w:t xml:space="preserve">25–35%</w:t>
            </w:r>
          </w:p>
        </w:tc>
        <w:tc>
          <w:p>
            <w:pPr>
              <w:pStyle w:val="Compact"/>
              <w:jc w:val="left"/>
            </w:pPr>
            <w:r>
              <w:t xml:space="preserve">≥ 28%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ROE do empreendimento</w:t>
            </w:r>
          </w:p>
        </w:tc>
        <w:tc>
          <w:p>
            <w:pPr>
              <w:pStyle w:val="Compact"/>
              <w:jc w:val="left"/>
            </w:pPr>
            <w:r>
              <w:t xml:space="preserve">20–40%</w:t>
            </w:r>
          </w:p>
        </w:tc>
        <w:tc>
          <w:p>
            <w:pPr>
              <w:pStyle w:val="Compact"/>
              <w:jc w:val="left"/>
            </w:pPr>
            <w:r>
              <w:t xml:space="preserve">≥ 25%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TIR do empreendimento</w:t>
            </w:r>
          </w:p>
        </w:tc>
        <w:tc>
          <w:p>
            <w:pPr>
              <w:pStyle w:val="Compact"/>
              <w:jc w:val="left"/>
            </w:pPr>
            <w:r>
              <w:t xml:space="preserve">15–25% a.a.</w:t>
            </w:r>
          </w:p>
        </w:tc>
        <w:tc>
          <w:p>
            <w:pPr>
              <w:pStyle w:val="Compact"/>
              <w:jc w:val="left"/>
            </w:pPr>
            <w:r>
              <w:t xml:space="preserve">≥ 18% a.a.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Payback do capital próprio</w:t>
            </w:r>
          </w:p>
        </w:tc>
        <w:tc>
          <w:p>
            <w:pPr>
              <w:pStyle w:val="Compact"/>
              <w:jc w:val="left"/>
            </w:pPr>
            <w:r>
              <w:t xml:space="preserve">24–48 meses</w:t>
            </w:r>
          </w:p>
        </w:tc>
        <w:tc>
          <w:p>
            <w:pPr>
              <w:pStyle w:val="Compact"/>
              <w:jc w:val="left"/>
            </w:pPr>
            <w:r>
              <w:t xml:space="preserve">≤ 36 meses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Relação Custo de Obra / VGV</w:t>
            </w:r>
          </w:p>
        </w:tc>
        <w:tc>
          <w:p>
            <w:pPr>
              <w:pStyle w:val="Compact"/>
              <w:jc w:val="left"/>
            </w:pPr>
            <w:r>
              <w:t xml:space="preserve">45–60%</w:t>
            </w:r>
          </w:p>
        </w:tc>
        <w:tc>
          <w:p>
            <w:pPr>
              <w:pStyle w:val="Compact"/>
              <w:jc w:val="left"/>
            </w:pPr>
            <w:r>
              <w:t xml:space="preserve">≤ 55%</w:t>
            </w:r>
          </w:p>
        </w:tc>
      </w:tr>
    </w:tbl>
    <w:p>
      <w:pPr>
        <w:pStyle w:val="Heading2"/>
      </w:pPr>
      <w:bookmarkStart w:id="58" w:name="indicadores-operacionais"/>
      <w:r>
        <w:t xml:space="preserve">10.2 Indicadores Operacionais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% Vendas no lançamento (30 dias)</w:t>
            </w:r>
          </w:p>
        </w:tc>
        <w:tc>
          <w:p>
            <w:pPr>
              <w:pStyle w:val="Compact"/>
              <w:jc w:val="left"/>
            </w:pPr>
            <w:r>
              <w:t xml:space="preserve">≥ 40% das unidades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% Vendas antes do início da obra</w:t>
            </w:r>
          </w:p>
        </w:tc>
        <w:tc>
          <w:p>
            <w:pPr>
              <w:pStyle w:val="Compact"/>
              <w:jc w:val="left"/>
            </w:pPr>
            <w:r>
              <w:t xml:space="preserve">≥ 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Desvio de prazo de obra</w:t>
            </w:r>
          </w:p>
        </w:tc>
        <w:tc>
          <w:p>
            <w:pPr>
              <w:pStyle w:val="Compact"/>
              <w:jc w:val="left"/>
            </w:pPr>
            <w:r>
              <w:t xml:space="preserve">≤ 10% do cronograma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Desvio de custo de obra</w:t>
            </w:r>
          </w:p>
        </w:tc>
        <w:tc>
          <w:p>
            <w:pPr>
              <w:pStyle w:val="Compact"/>
              <w:jc w:val="left"/>
            </w:pPr>
            <w:r>
              <w:t xml:space="preserve">≤ 8% do orçamento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Aprovação de projeto na prefeitura</w:t>
            </w:r>
          </w:p>
        </w:tc>
        <w:tc>
          <w:p>
            <w:pPr>
              <w:pStyle w:val="Compact"/>
              <w:jc w:val="left"/>
            </w:pPr>
            <w:r>
              <w:t xml:space="preserve">≤ 180 dias após protocolo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9" w:name="cronograma-próximos-12-meses"/>
      <w:r>
        <w:t xml:space="preserve">11. Cronograma — Próximos 12 Meses</w:t>
      </w:r>
      <w:bookmarkEnd w:id="5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Prazo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Estruturação</w:t>
            </w:r>
          </w:p>
        </w:tc>
        <w:tc>
          <w:p>
            <w:pPr>
              <w:pStyle w:val="Compact"/>
              <w:jc w:val="left"/>
            </w:pPr>
            <w:r>
              <w:t xml:space="preserve">Constituição da Holding</w:t>
            </w:r>
          </w:p>
        </w:tc>
        <w:tc>
          <w:p>
            <w:pPr>
              <w:pStyle w:val="Compact"/>
              <w:jc w:val="left"/>
            </w:pPr>
            <w:r>
              <w:t xml:space="preserve">Mês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Estruturação</w:t>
            </w:r>
          </w:p>
        </w:tc>
        <w:tc>
          <w:p>
            <w:pPr>
              <w:pStyle w:val="Compact"/>
              <w:jc w:val="left"/>
            </w:pPr>
            <w:r>
              <w:t xml:space="preserve">Formalização do Acordo de Sócios</w:t>
            </w:r>
          </w:p>
        </w:tc>
        <w:tc>
          <w:p>
            <w:pPr>
              <w:pStyle w:val="Compact"/>
              <w:jc w:val="left"/>
            </w:pPr>
            <w:r>
              <w:t xml:space="preserve">Mês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Estruturação</w:t>
            </w:r>
          </w:p>
        </w:tc>
        <w:tc>
          <w:p>
            <w:pPr>
              <w:pStyle w:val="Compact"/>
              <w:jc w:val="left"/>
            </w:pPr>
            <w:r>
              <w:t xml:space="preserve">Abertura de conta bancária PJ e definição do capital social</w:t>
            </w:r>
          </w:p>
        </w:tc>
        <w:tc>
          <w:p>
            <w:pPr>
              <w:pStyle w:val="Compact"/>
              <w:jc w:val="left"/>
            </w:pPr>
            <w:r>
              <w:t xml:space="preserve">Mês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Prospecção</w:t>
            </w:r>
          </w:p>
        </w:tc>
        <w:tc>
          <w:p>
            <w:pPr>
              <w:pStyle w:val="Compact"/>
              <w:jc w:val="left"/>
            </w:pPr>
            <w:r>
              <w:t xml:space="preserve">Levantamento e análise de 3 a 5 terrenos potenciais</w:t>
            </w:r>
          </w:p>
        </w:tc>
        <w:tc>
          <w:p>
            <w:pPr>
              <w:pStyle w:val="Compact"/>
              <w:jc w:val="left"/>
            </w:pPr>
            <w:r>
              <w:t xml:space="preserve">Mês 1–3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Viabilidade</w:t>
            </w:r>
          </w:p>
        </w:tc>
        <w:tc>
          <w:p>
            <w:pPr>
              <w:pStyle w:val="Compact"/>
              <w:jc w:val="left"/>
            </w:pPr>
            <w:r>
              <w:t xml:space="preserve">Estudo de viabilidade completo do terreno escolhido</w:t>
            </w:r>
          </w:p>
        </w:tc>
        <w:tc>
          <w:p>
            <w:pPr>
              <w:pStyle w:val="Compact"/>
              <w:jc w:val="left"/>
            </w:pPr>
            <w:r>
              <w:t xml:space="preserve">Mês 2–3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Aquisição</w:t>
            </w:r>
          </w:p>
        </w:tc>
        <w:tc>
          <w:p>
            <w:pPr>
              <w:pStyle w:val="Compact"/>
              <w:jc w:val="left"/>
            </w:pPr>
            <w:r>
              <w:t xml:space="preserve">Due diligence jurídica + negociação do terreno</w:t>
            </w:r>
          </w:p>
        </w:tc>
        <w:tc>
          <w:p>
            <w:pPr>
              <w:pStyle w:val="Compact"/>
              <w:jc w:val="left"/>
            </w:pPr>
            <w:r>
              <w:t xml:space="preserve">Mês 3–4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Produto</w:t>
            </w:r>
          </w:p>
        </w:tc>
        <w:tc>
          <w:p>
            <w:pPr>
              <w:pStyle w:val="Compact"/>
              <w:jc w:val="left"/>
            </w:pPr>
            <w:r>
              <w:t xml:space="preserve">Desenvolvimento de projeto arquitetônico e legal</w:t>
            </w:r>
          </w:p>
        </w:tc>
        <w:tc>
          <w:p>
            <w:pPr>
              <w:pStyle w:val="Compact"/>
              <w:jc w:val="left"/>
            </w:pPr>
            <w:r>
              <w:t xml:space="preserve">Mês 4–6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Aprovações</w:t>
            </w:r>
          </w:p>
        </w:tc>
        <w:tc>
          <w:p>
            <w:pPr>
              <w:pStyle w:val="Compact"/>
              <w:jc w:val="left"/>
            </w:pPr>
            <w:r>
              <w:t xml:space="preserve">Protocolo e acompanhamento na prefeitura</w:t>
            </w:r>
          </w:p>
        </w:tc>
        <w:tc>
          <w:p>
            <w:pPr>
              <w:pStyle w:val="Compact"/>
              <w:jc w:val="left"/>
            </w:pPr>
            <w:r>
              <w:t xml:space="preserve">Mês 5–8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Comercial</w:t>
            </w:r>
          </w:p>
        </w:tc>
        <w:tc>
          <w:p>
            <w:pPr>
              <w:pStyle w:val="Compact"/>
              <w:jc w:val="left"/>
            </w:pPr>
            <w:r>
              <w:t xml:space="preserve">Estratégia de lançamento + briefing da corretora</w:t>
            </w:r>
          </w:p>
        </w:tc>
        <w:tc>
          <w:p>
            <w:pPr>
              <w:pStyle w:val="Compact"/>
              <w:jc w:val="left"/>
            </w:pPr>
            <w:r>
              <w:t xml:space="preserve">Mês 6–7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Financeiro</w:t>
            </w:r>
          </w:p>
        </w:tc>
        <w:tc>
          <w:p>
            <w:pPr>
              <w:pStyle w:val="Compact"/>
              <w:jc w:val="left"/>
            </w:pPr>
            <w:r>
              <w:t xml:space="preserve">Pré-validação do produto com a CEF</w:t>
            </w:r>
          </w:p>
        </w:tc>
        <w:tc>
          <w:p>
            <w:pPr>
              <w:pStyle w:val="Compact"/>
              <w:jc w:val="left"/>
            </w:pPr>
            <w:r>
              <w:t xml:space="preserve">Mês 6–8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Lançamento</w:t>
            </w:r>
          </w:p>
        </w:tc>
        <w:tc>
          <w:p>
            <w:pPr>
              <w:pStyle w:val="Compact"/>
              <w:jc w:val="left"/>
            </w:pPr>
            <w:r>
              <w:t xml:space="preserve">Lançamento comercial (após CRI)</w:t>
            </w:r>
          </w:p>
        </w:tc>
        <w:tc>
          <w:p>
            <w:pPr>
              <w:pStyle w:val="Compact"/>
              <w:jc w:val="left"/>
            </w:pPr>
            <w:r>
              <w:t xml:space="preserve">Mês 8–10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Financiamento</w:t>
            </w:r>
          </w:p>
        </w:tc>
        <w:tc>
          <w:p>
            <w:pPr>
              <w:pStyle w:val="Compact"/>
              <w:jc w:val="left"/>
            </w:pPr>
            <w:r>
              <w:t xml:space="preserve">Contratação do financiamento de obra CEF</w:t>
            </w:r>
          </w:p>
        </w:tc>
        <w:tc>
          <w:p>
            <w:pPr>
              <w:pStyle w:val="Compact"/>
              <w:jc w:val="left"/>
            </w:pPr>
            <w:r>
              <w:t xml:space="preserve">Mês 10–12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60" w:name="próximos-passos-imediatos"/>
      <w:r>
        <w:t xml:space="preserve">12. Próximos Passos Imediatos</w:t>
      </w:r>
      <w:bookmarkEnd w:id="60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Contratar advogado societário</w:t>
      </w:r>
      <w:r>
        <w:t xml:space="preserve"> </w:t>
      </w:r>
      <w:r>
        <w:t xml:space="preserve">para redigir o Acordo de Sócios e estrutura da Holding.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Definir capital social inicial</w:t>
      </w:r>
      <w:r>
        <w:t xml:space="preserve"> </w:t>
      </w:r>
      <w:r>
        <w:t xml:space="preserve">e forma de integralização (dinheiro, bens, serviços — com implicações fiscais distintas).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Definir mercado-alvo</w:t>
      </w:r>
      <w:r>
        <w:t xml:space="preserve"> </w:t>
      </w:r>
      <w:r>
        <w:t xml:space="preserve">(município ou região prioritária) para busca de terrenos.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Criar modelo de análise de viabilidade</w:t>
      </w:r>
      <w:r>
        <w:t xml:space="preserve"> </w:t>
      </w:r>
      <w:r>
        <w:t xml:space="preserve">padronizado para avaliar terrenos de forma consistente.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Prospectar corretoras parceiras</w:t>
      </w:r>
      <w:r>
        <w:t xml:space="preserve"> </w:t>
      </w:r>
      <w:r>
        <w:t xml:space="preserve">para entender demanda atual e perfil do comprador na região.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Credenciar a empresa junto à CEF</w:t>
      </w:r>
      <w:r>
        <w:t xml:space="preserve"> </w:t>
      </w:r>
      <w:r>
        <w:t xml:space="preserve">(abertura de relacionamento antes de precisar do financiamento).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Documento elaborado em Março/2026 — Versão 1.0. Revisão recomendada a cada 90 dias ou após eventos relevantes (aquisição de terreno, lançamento, mudanças de mercado).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2026-03-30T11:15:32Z</dcterms:created>
  <dcterms:modified xsi:type="dcterms:W3CDTF">2026-03-30T11:15:32Z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