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1F3864"/>
          </w:tcPr>
          <w:p>
            <w:pPr>
              <w:spacing w:before="240" w:after="240"/>
              <w:jc w:val="center"/>
            </w:pPr>
            <w:r>
              <w:rPr>
                <w:rFonts w:ascii="Arial" w:hAnsi="Arial"/>
                <w:b/>
                <w:color w:val="FFFFFF"/>
                <w:sz w:val="30"/>
              </w:rPr>
              <w:t>PARECER TÉCNICO COMPARATIVO DE VIABILIDADE</w:t>
            </w:r>
          </w:p>
        </w:tc>
      </w:tr>
    </w:tbl>
    <w:p>
      <w:pPr>
        <w:spacing w:after="120"/>
      </w:pPr>
    </w:p>
    <w:p>
      <w:pPr>
        <w:spacing w:after="40"/>
        <w:jc w:val="center"/>
      </w:pPr>
      <w:r>
        <w:rPr>
          <w:rFonts w:ascii="Arial" w:hAnsi="Arial"/>
          <w:b/>
          <w:i w:val="0"/>
          <w:color w:val="1F3864"/>
          <w:sz w:val="26"/>
        </w:rPr>
        <w:t>Loteamento (602) Residencial Salles Jardim — Castanhal / PA</w:t>
      </w:r>
    </w:p>
    <w:p>
      <w:pPr>
        <w:spacing w:after="40"/>
        <w:jc w:val="center"/>
      </w:pPr>
      <w:r>
        <w:rPr>
          <w:rFonts w:ascii="Arial" w:hAnsi="Arial"/>
          <w:b w:val="0"/>
          <w:i/>
          <w:color w:val="555555"/>
          <w:sz w:val="22"/>
        </w:rPr>
        <w:t>Análise Comparativa: QD 88 (Av. José Salles) × QD 93 (Rua 33 + Rua 31)</w:t>
      </w:r>
    </w:p>
    <w:p>
      <w:pPr>
        <w:spacing w:after="160"/>
        <w:jc w:val="center"/>
      </w:pPr>
      <w:r>
        <w:rPr>
          <w:rFonts w:ascii="Arial" w:hAnsi="Arial"/>
          <w:b w:val="0"/>
          <w:i/>
          <w:color w:val="888888"/>
          <w:sz w:val="18"/>
        </w:rPr>
        <w:t>Emissão: 29 de março de 2026   |   Base: Relatório de Disponibilidade 27/03/2026   |   Tabela de Preços: 02/02/2026</w:t>
      </w:r>
    </w:p>
    <w:p>
      <w:pPr>
        <w:pBdr>
          <w:bottom w:val="single" w:sz="6" w:space="1" w:color="2E75B6"/>
        </w:pBdr>
        <w:spacing w:before="280" w:after="120"/>
      </w:pPr>
      <w:r>
        <w:rPr>
          <w:rFonts w:ascii="Arial" w:hAnsi="Arial"/>
          <w:b/>
          <w:color w:val="1F3864"/>
          <w:sz w:val="26"/>
        </w:rPr>
        <w:t>1. Resumo Executivo</w:t>
      </w:r>
    </w:p>
    <w:p>
      <w:pPr>
        <w:spacing w:after="80"/>
        <w:jc w:val="both"/>
      </w:pPr>
      <w:r>
        <w:rPr>
          <w:rFonts w:ascii="Arial" w:hAnsi="Arial"/>
          <w:b w:val="0"/>
          <w:i w:val="0"/>
          <w:sz w:val="21"/>
        </w:rPr>
        <w:t>Este parecer coteja dois grupamentos de lotes contíguos identificados no Residencial Salles Jardim como os mais relevantes para incorporação imobiliária: a Quadra 88 (6 lotes consecutivos na Avenida José Salles, via principal do loteamento) e a Quadra 93 (9 lotes em configuração back-to-back — fundos com fundos — abrangendo a Rua 33 e a Rua 31). Os dois ativos possuem perfis estratégicos distintos e se complementam na análise do portfólio de aquisição da incorporadora. Esta versão inclui análise de fluxo de pagamento mensal com recursos próprios, utilizando o plano "Sinal 5x + 200 Parcelas" da Tabela de Preços Valle/ESalles de 02/02/2026.</w:t>
      </w:r>
    </w:p>
    <w:p>
      <w:pPr>
        <w:spacing w:after="80"/>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374A5E"/>
          </w:tcPr>
          <w:p>
            <w:pPr>
              <w:spacing w:before="100" w:after="100"/>
              <w:jc w:val="center"/>
            </w:pPr>
            <w:r>
              <w:rPr>
                <w:rFonts w:ascii="Arial" w:hAnsi="Arial"/>
                <w:b/>
                <w:color w:val="FFFFFF"/>
                <w:sz w:val="20"/>
              </w:rPr>
              <w:t>Critério</w:t>
            </w:r>
          </w:p>
        </w:tc>
        <w:tc>
          <w:tcPr>
            <w:tcW w:type="dxa" w:w="3024"/>
            <w:shd w:val="clear" w:color="auto" w:fill="1F5C9E"/>
          </w:tcPr>
          <w:p>
            <w:pPr>
              <w:spacing w:before="100" w:after="100"/>
              <w:jc w:val="center"/>
            </w:pPr>
            <w:r>
              <w:rPr>
                <w:rFonts w:ascii="Arial" w:hAnsi="Arial"/>
                <w:b/>
                <w:color w:val="FFFFFF"/>
                <w:sz w:val="20"/>
              </w:rPr>
              <w:t>QD 88 — Av. José Salles</w:t>
            </w:r>
          </w:p>
        </w:tc>
        <w:tc>
          <w:tcPr>
            <w:tcW w:type="dxa" w:w="3024"/>
            <w:shd w:val="clear" w:color="auto" w:fill="2E7D32"/>
          </w:tcPr>
          <w:p>
            <w:pPr>
              <w:spacing w:before="100" w:after="100"/>
              <w:jc w:val="center"/>
            </w:pPr>
            <w:r>
              <w:rPr>
                <w:rFonts w:ascii="Arial" w:hAnsi="Arial"/>
                <w:b/>
                <w:color w:val="FFFFFF"/>
                <w:sz w:val="20"/>
              </w:rPr>
              <w:t>QD 93 — Rua 33 + Rua 31</w:t>
            </w:r>
          </w:p>
        </w:tc>
      </w:tr>
      <w:tr>
        <w:tc>
          <w:tcPr>
            <w:tcW w:type="dxa" w:w="3024"/>
            <w:shd w:val="clear" w:color="auto" w:fill="E8EDF4"/>
          </w:tcPr>
          <w:p>
            <w:pPr>
              <w:spacing w:before="80" w:after="80"/>
            </w:pPr>
            <w:r>
              <w:rPr>
                <w:rFonts w:ascii="Arial" w:hAnsi="Arial"/>
                <w:b/>
                <w:i w:val="0"/>
                <w:sz w:val="19"/>
              </w:rPr>
              <w:t>Nº de lotes</w:t>
            </w:r>
          </w:p>
        </w:tc>
        <w:tc>
          <w:tcPr>
            <w:tcW w:type="dxa" w:w="3024"/>
            <w:shd w:val="clear" w:color="auto" w:fill="F2F7FD"/>
          </w:tcPr>
          <w:p>
            <w:pPr>
              <w:spacing w:before="80" w:after="80"/>
              <w:jc w:val="center"/>
            </w:pPr>
            <w:r>
              <w:rPr>
                <w:rFonts w:ascii="Arial" w:hAnsi="Arial"/>
                <w:b w:val="0"/>
                <w:i w:val="0"/>
                <w:sz w:val="19"/>
              </w:rPr>
              <w:t>6 lotes (LTs 27–32)</w:t>
            </w:r>
          </w:p>
        </w:tc>
        <w:tc>
          <w:tcPr>
            <w:tcW w:type="dxa" w:w="3024"/>
            <w:shd w:val="clear" w:color="auto" w:fill="F0F7F0"/>
          </w:tcPr>
          <w:p>
            <w:pPr>
              <w:spacing w:before="80" w:after="80"/>
              <w:jc w:val="center"/>
            </w:pPr>
            <w:r>
              <w:rPr>
                <w:rFonts w:ascii="Arial" w:hAnsi="Arial"/>
                <w:b w:val="0"/>
                <w:i w:val="0"/>
                <w:sz w:val="19"/>
              </w:rPr>
              <w:t>9 lotes (LTs 19–23 + 29–32)</w:t>
            </w:r>
          </w:p>
        </w:tc>
      </w:tr>
      <w:tr>
        <w:tc>
          <w:tcPr>
            <w:tcW w:type="dxa" w:w="3024"/>
            <w:shd w:val="clear" w:color="auto" w:fill="E8EDF4"/>
          </w:tcPr>
          <w:p>
            <w:pPr>
              <w:spacing w:before="80" w:after="80"/>
            </w:pPr>
            <w:r>
              <w:rPr>
                <w:rFonts w:ascii="Arial" w:hAnsi="Arial"/>
                <w:b/>
                <w:i w:val="0"/>
                <w:sz w:val="19"/>
              </w:rPr>
              <w:t>Tipo de contiguidade</w:t>
            </w:r>
          </w:p>
        </w:tc>
        <w:tc>
          <w:tcPr>
            <w:tcW w:type="dxa" w:w="3024"/>
            <w:shd w:val="clear" w:color="auto" w:fill="FFFFFF"/>
          </w:tcPr>
          <w:p>
            <w:pPr>
              <w:spacing w:before="80" w:after="80"/>
              <w:jc w:val="center"/>
            </w:pPr>
            <w:r>
              <w:rPr>
                <w:rFonts w:ascii="Arial" w:hAnsi="Arial"/>
                <w:b w:val="0"/>
                <w:i w:val="0"/>
                <w:sz w:val="19"/>
              </w:rPr>
              <w:t>Lateral — mesma rua</w:t>
            </w:r>
          </w:p>
        </w:tc>
        <w:tc>
          <w:tcPr>
            <w:tcW w:type="dxa" w:w="3024"/>
            <w:shd w:val="clear" w:color="auto" w:fill="FFFFFF"/>
          </w:tcPr>
          <w:p>
            <w:pPr>
              <w:spacing w:before="80" w:after="80"/>
              <w:jc w:val="center"/>
            </w:pPr>
            <w:r>
              <w:rPr>
                <w:rFonts w:ascii="Arial" w:hAnsi="Arial"/>
                <w:b w:val="0"/>
                <w:i w:val="0"/>
                <w:sz w:val="19"/>
              </w:rPr>
              <w:t>Lateral + Fundos (back-to-back)</w:t>
            </w:r>
          </w:p>
        </w:tc>
      </w:tr>
      <w:tr>
        <w:tc>
          <w:tcPr>
            <w:tcW w:type="dxa" w:w="3024"/>
            <w:shd w:val="clear" w:color="auto" w:fill="E8EDF4"/>
          </w:tcPr>
          <w:p>
            <w:pPr>
              <w:spacing w:before="80" w:after="80"/>
            </w:pPr>
            <w:r>
              <w:rPr>
                <w:rFonts w:ascii="Arial" w:hAnsi="Arial"/>
                <w:b/>
                <w:i w:val="0"/>
                <w:sz w:val="19"/>
              </w:rPr>
              <w:t>Área total</w:t>
            </w:r>
          </w:p>
        </w:tc>
        <w:tc>
          <w:tcPr>
            <w:tcW w:type="dxa" w:w="3024"/>
            <w:shd w:val="clear" w:color="auto" w:fill="F2F7FD"/>
          </w:tcPr>
          <w:p>
            <w:pPr>
              <w:spacing w:before="80" w:after="80"/>
              <w:jc w:val="center"/>
            </w:pPr>
            <w:r>
              <w:rPr>
                <w:rFonts w:ascii="Arial" w:hAnsi="Arial"/>
                <w:b w:val="0"/>
                <w:i w:val="0"/>
                <w:sz w:val="19"/>
              </w:rPr>
              <w:t>2.100 m²</w:t>
            </w:r>
          </w:p>
        </w:tc>
        <w:tc>
          <w:tcPr>
            <w:tcW w:type="dxa" w:w="3024"/>
            <w:shd w:val="clear" w:color="auto" w:fill="F0F7F0"/>
          </w:tcPr>
          <w:p>
            <w:pPr>
              <w:spacing w:before="80" w:after="80"/>
              <w:jc w:val="center"/>
            </w:pPr>
            <w:r>
              <w:rPr>
                <w:rFonts w:ascii="Arial" w:hAnsi="Arial"/>
                <w:b w:val="0"/>
                <w:i w:val="0"/>
                <w:sz w:val="19"/>
              </w:rPr>
              <w:t>2.300 m²</w:t>
            </w:r>
          </w:p>
        </w:tc>
      </w:tr>
      <w:tr>
        <w:tc>
          <w:tcPr>
            <w:tcW w:type="dxa" w:w="3024"/>
            <w:shd w:val="clear" w:color="auto" w:fill="E8EDF4"/>
          </w:tcPr>
          <w:p>
            <w:pPr>
              <w:spacing w:before="80" w:after="80"/>
            </w:pPr>
            <w:r>
              <w:rPr>
                <w:rFonts w:ascii="Arial" w:hAnsi="Arial"/>
                <w:b/>
                <w:i w:val="0"/>
                <w:sz w:val="19"/>
              </w:rPr>
              <w:t>Logradouro(s)</w:t>
            </w:r>
          </w:p>
        </w:tc>
        <w:tc>
          <w:tcPr>
            <w:tcW w:type="dxa" w:w="3024"/>
            <w:shd w:val="clear" w:color="auto" w:fill="FFFFFF"/>
          </w:tcPr>
          <w:p>
            <w:pPr>
              <w:spacing w:before="80" w:after="80"/>
              <w:jc w:val="center"/>
            </w:pPr>
            <w:r>
              <w:rPr>
                <w:rFonts w:ascii="Arial" w:hAnsi="Arial"/>
                <w:b w:val="0"/>
                <w:i w:val="0"/>
                <w:sz w:val="19"/>
              </w:rPr>
              <w:t>Av. José Salles (única)</w:t>
            </w:r>
          </w:p>
        </w:tc>
        <w:tc>
          <w:tcPr>
            <w:tcW w:type="dxa" w:w="3024"/>
            <w:shd w:val="clear" w:color="auto" w:fill="FFFFFF"/>
          </w:tcPr>
          <w:p>
            <w:pPr>
              <w:spacing w:before="80" w:after="80"/>
              <w:jc w:val="center"/>
            </w:pPr>
            <w:r>
              <w:rPr>
                <w:rFonts w:ascii="Arial" w:hAnsi="Arial"/>
                <w:b w:val="0"/>
                <w:i w:val="0"/>
                <w:sz w:val="19"/>
              </w:rPr>
              <w:t>Rua 33 e Rua 31 (duas frentes)</w:t>
            </w:r>
          </w:p>
        </w:tc>
      </w:tr>
      <w:tr>
        <w:tc>
          <w:tcPr>
            <w:tcW w:type="dxa" w:w="3024"/>
            <w:shd w:val="clear" w:color="auto" w:fill="E8EDF4"/>
          </w:tcPr>
          <w:p>
            <w:pPr>
              <w:spacing w:before="80" w:after="80"/>
            </w:pPr>
            <w:r>
              <w:rPr>
                <w:rFonts w:ascii="Arial" w:hAnsi="Arial"/>
                <w:b/>
                <w:i w:val="0"/>
                <w:sz w:val="19"/>
              </w:rPr>
              <w:t>Valor tabela (promoção)</w:t>
            </w:r>
          </w:p>
        </w:tc>
        <w:tc>
          <w:tcPr>
            <w:tcW w:type="dxa" w:w="3024"/>
            <w:shd w:val="clear" w:color="auto" w:fill="F2F7FD"/>
          </w:tcPr>
          <w:p>
            <w:pPr>
              <w:spacing w:before="80" w:after="80"/>
              <w:jc w:val="center"/>
            </w:pPr>
            <w:r>
              <w:rPr>
                <w:rFonts w:ascii="Arial" w:hAnsi="Arial"/>
                <w:b w:val="0"/>
                <w:i w:val="0"/>
                <w:sz w:val="19"/>
              </w:rPr>
              <w:t>R$ 1.672.488 (estimado)</w:t>
            </w:r>
          </w:p>
        </w:tc>
        <w:tc>
          <w:tcPr>
            <w:tcW w:type="dxa" w:w="3024"/>
            <w:shd w:val="clear" w:color="auto" w:fill="F0F7F0"/>
          </w:tcPr>
          <w:p>
            <w:pPr>
              <w:spacing w:before="80" w:after="80"/>
              <w:jc w:val="center"/>
            </w:pPr>
            <w:r>
              <w:rPr>
                <w:rFonts w:ascii="Arial" w:hAnsi="Arial"/>
                <w:b w:val="0"/>
                <w:i w:val="0"/>
                <w:sz w:val="19"/>
              </w:rPr>
              <w:t>R$ 979.159</w:t>
            </w:r>
          </w:p>
        </w:tc>
      </w:tr>
      <w:tr>
        <w:tc>
          <w:tcPr>
            <w:tcW w:type="dxa" w:w="3024"/>
            <w:shd w:val="clear" w:color="auto" w:fill="E8EDF4"/>
          </w:tcPr>
          <w:p>
            <w:pPr>
              <w:spacing w:before="80" w:after="80"/>
            </w:pPr>
            <w:r>
              <w:rPr>
                <w:rFonts w:ascii="Arial" w:hAnsi="Arial"/>
                <w:b/>
                <w:i w:val="0"/>
                <w:sz w:val="19"/>
              </w:rPr>
              <w:t>Parcela Sinal 5x</w:t>
            </w:r>
          </w:p>
        </w:tc>
        <w:tc>
          <w:tcPr>
            <w:tcW w:type="dxa" w:w="3024"/>
            <w:shd w:val="clear" w:color="auto" w:fill="FFFFFF"/>
          </w:tcPr>
          <w:p>
            <w:pPr>
              <w:spacing w:before="80" w:after="80"/>
              <w:jc w:val="center"/>
            </w:pPr>
            <w:r>
              <w:rPr>
                <w:rFonts w:ascii="Arial" w:hAnsi="Arial"/>
                <w:b w:val="0"/>
                <w:i w:val="0"/>
                <w:sz w:val="19"/>
              </w:rPr>
              <w:t>R$ 20.408,64/mês (meses 1–5)</w:t>
            </w:r>
          </w:p>
        </w:tc>
        <w:tc>
          <w:tcPr>
            <w:tcW w:type="dxa" w:w="3024"/>
            <w:shd w:val="clear" w:color="auto" w:fill="FFFFFF"/>
          </w:tcPr>
          <w:p>
            <w:pPr>
              <w:spacing w:before="80" w:after="80"/>
              <w:jc w:val="center"/>
            </w:pPr>
            <w:r>
              <w:rPr>
                <w:rFonts w:ascii="Arial" w:hAnsi="Arial"/>
                <w:b w:val="0"/>
                <w:i w:val="0"/>
                <w:sz w:val="19"/>
              </w:rPr>
              <w:t>R$ 11.948,23/mês (meses 1–5)</w:t>
            </w:r>
          </w:p>
        </w:tc>
      </w:tr>
      <w:tr>
        <w:tc>
          <w:tcPr>
            <w:tcW w:type="dxa" w:w="3024"/>
            <w:shd w:val="clear" w:color="auto" w:fill="E8EDF4"/>
          </w:tcPr>
          <w:p>
            <w:pPr>
              <w:spacing w:before="80" w:after="80"/>
            </w:pPr>
            <w:r>
              <w:rPr>
                <w:rFonts w:ascii="Arial" w:hAnsi="Arial"/>
                <w:b/>
                <w:i w:val="0"/>
                <w:sz w:val="19"/>
              </w:rPr>
              <w:t>Parcela 200x</w:t>
            </w:r>
          </w:p>
        </w:tc>
        <w:tc>
          <w:tcPr>
            <w:tcW w:type="dxa" w:w="3024"/>
            <w:shd w:val="clear" w:color="auto" w:fill="F2F7FD"/>
          </w:tcPr>
          <w:p>
            <w:pPr>
              <w:spacing w:before="80" w:after="80"/>
              <w:jc w:val="center"/>
            </w:pPr>
            <w:r>
              <w:rPr>
                <w:rFonts w:ascii="Arial" w:hAnsi="Arial"/>
                <w:b w:val="0"/>
                <w:i w:val="0"/>
                <w:sz w:val="19"/>
              </w:rPr>
              <w:t>R$ 7.852,20/mês (meses 6–205)</w:t>
            </w:r>
          </w:p>
        </w:tc>
        <w:tc>
          <w:tcPr>
            <w:tcW w:type="dxa" w:w="3024"/>
            <w:shd w:val="clear" w:color="auto" w:fill="F0F7F0"/>
          </w:tcPr>
          <w:p>
            <w:pPr>
              <w:spacing w:before="80" w:after="80"/>
              <w:jc w:val="center"/>
            </w:pPr>
            <w:r>
              <w:rPr>
                <w:rFonts w:ascii="Arial" w:hAnsi="Arial"/>
                <w:b w:val="0"/>
                <w:i w:val="0"/>
                <w:sz w:val="19"/>
              </w:rPr>
              <w:t>R$ 4.597,06/mês (meses 6–205)</w:t>
            </w:r>
          </w:p>
        </w:tc>
      </w:tr>
    </w:tbl>
    <w:p>
      <w:pPr>
        <w:spacing w:after="160"/>
      </w:pPr>
    </w:p>
    <w:p>
      <w:pPr>
        <w:pBdr>
          <w:bottom w:val="single" w:sz="6" w:space="1" w:color="2E75B6"/>
        </w:pBdr>
        <w:spacing w:before="280" w:after="120"/>
      </w:pPr>
      <w:r>
        <w:rPr>
          <w:rFonts w:ascii="Arial" w:hAnsi="Arial"/>
          <w:b/>
          <w:color w:val="1F3864"/>
          <w:sz w:val="26"/>
        </w:rPr>
        <w:t>2. Análise Física e Dimensional</w:t>
      </w:r>
    </w:p>
    <w:p>
      <w:pPr>
        <w:spacing w:after="80"/>
        <w:jc w:val="both"/>
      </w:pPr>
      <w:r>
        <w:rPr>
          <w:rFonts w:ascii="Arial" w:hAnsi="Arial"/>
          <w:b/>
          <w:i w:val="0"/>
          <w:color w:val="1F5C9E"/>
          <w:sz w:val="22"/>
        </w:rPr>
        <w:t>2.1  QD 88 — Grupamento Av. José Salles (LTs 27 a 32)</w:t>
      </w:r>
    </w:p>
    <w:p>
      <w:pPr>
        <w:spacing w:after="80"/>
        <w:jc w:val="both"/>
      </w:pPr>
      <w:r>
        <w:rPr>
          <w:rFonts w:ascii="Arial" w:hAnsi="Arial"/>
          <w:b w:val="0"/>
          <w:i w:val="0"/>
          <w:sz w:val="21"/>
        </w:rPr>
        <w:t>O grupamento da QD 88 é geometricamente o mais simples e favorável para projeto: seis lotes idênticos, consecutivos, com testada única para a Avenida José Salles. A unificação produz um retângulo perfeito de 60,00 m × 35,00 m, sem recortes, chanfros ou irregularidades.</w:t>
      </w:r>
    </w:p>
    <w:p>
      <w:pPr>
        <w:spacing w:after="80"/>
      </w:pP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D0E4F7"/>
          </w:tcPr>
          <w:p>
            <w:pPr>
              <w:spacing w:before="80" w:after="80"/>
            </w:pPr>
            <w:r>
              <w:rPr>
                <w:rFonts w:ascii="Arial" w:hAnsi="Arial"/>
                <w:b/>
                <w:i w:val="0"/>
                <w:sz w:val="19"/>
              </w:rPr>
              <w:t>Testada total (Av. José Salles)</w:t>
            </w:r>
          </w:p>
        </w:tc>
        <w:tc>
          <w:tcPr>
            <w:tcW w:type="dxa" w:w="4536"/>
            <w:shd w:val="clear" w:color="auto" w:fill="EBF3FB"/>
          </w:tcPr>
          <w:p>
            <w:pPr>
              <w:spacing w:before="80" w:after="80"/>
            </w:pPr>
            <w:r>
              <w:rPr>
                <w:rFonts w:ascii="Arial" w:hAnsi="Arial"/>
                <w:b w:val="0"/>
                <w:i w:val="0"/>
                <w:sz w:val="19"/>
              </w:rPr>
              <w:t>60,00 m  (6 × 10,00 m)</w:t>
            </w:r>
          </w:p>
        </w:tc>
      </w:tr>
      <w:tr>
        <w:tc>
          <w:tcPr>
            <w:tcW w:type="dxa" w:w="4536"/>
            <w:shd w:val="clear" w:color="auto" w:fill="D0E4F7"/>
          </w:tcPr>
          <w:p>
            <w:pPr>
              <w:spacing w:before="80" w:after="80"/>
            </w:pPr>
            <w:r>
              <w:rPr>
                <w:rFonts w:ascii="Arial" w:hAnsi="Arial"/>
                <w:b/>
                <w:i w:val="0"/>
                <w:sz w:val="19"/>
              </w:rPr>
              <w:t>Profundidade uniforme</w:t>
            </w:r>
          </w:p>
        </w:tc>
        <w:tc>
          <w:tcPr>
            <w:tcW w:type="dxa" w:w="4536"/>
            <w:shd w:val="clear" w:color="auto" w:fill="FFFFFF"/>
          </w:tcPr>
          <w:p>
            <w:pPr>
              <w:spacing w:before="80" w:after="80"/>
            </w:pPr>
            <w:r>
              <w:rPr>
                <w:rFonts w:ascii="Arial" w:hAnsi="Arial"/>
                <w:b w:val="0"/>
                <w:i w:val="0"/>
                <w:sz w:val="19"/>
              </w:rPr>
              <w:t>35,00 m</w:t>
            </w:r>
          </w:p>
        </w:tc>
      </w:tr>
      <w:tr>
        <w:tc>
          <w:tcPr>
            <w:tcW w:type="dxa" w:w="4536"/>
            <w:shd w:val="clear" w:color="auto" w:fill="D0E4F7"/>
          </w:tcPr>
          <w:p>
            <w:pPr>
              <w:spacing w:before="80" w:after="80"/>
            </w:pPr>
            <w:r>
              <w:rPr>
                <w:rFonts w:ascii="Arial" w:hAnsi="Arial"/>
                <w:b/>
                <w:i w:val="0"/>
                <w:sz w:val="19"/>
              </w:rPr>
              <w:t>Área total (unificada)</w:t>
            </w:r>
          </w:p>
        </w:tc>
        <w:tc>
          <w:tcPr>
            <w:tcW w:type="dxa" w:w="4536"/>
            <w:shd w:val="clear" w:color="auto" w:fill="EBF3FB"/>
          </w:tcPr>
          <w:p>
            <w:pPr>
              <w:spacing w:before="80" w:after="80"/>
            </w:pPr>
            <w:r>
              <w:rPr>
                <w:rFonts w:ascii="Arial" w:hAnsi="Arial"/>
                <w:b w:val="0"/>
                <w:i w:val="0"/>
                <w:sz w:val="19"/>
              </w:rPr>
              <w:t>2.100,00 m²</w:t>
            </w:r>
          </w:p>
        </w:tc>
      </w:tr>
      <w:tr>
        <w:tc>
          <w:tcPr>
            <w:tcW w:type="dxa" w:w="4536"/>
            <w:shd w:val="clear" w:color="auto" w:fill="D0E4F7"/>
          </w:tcPr>
          <w:p>
            <w:pPr>
              <w:spacing w:before="80" w:after="80"/>
            </w:pPr>
            <w:r>
              <w:rPr>
                <w:rFonts w:ascii="Arial" w:hAnsi="Arial"/>
                <w:b/>
                <w:i w:val="0"/>
                <w:sz w:val="19"/>
              </w:rPr>
              <w:t>Geometria resultante</w:t>
            </w:r>
          </w:p>
        </w:tc>
        <w:tc>
          <w:tcPr>
            <w:tcW w:type="dxa" w:w="4536"/>
            <w:shd w:val="clear" w:color="auto" w:fill="FFFFFF"/>
          </w:tcPr>
          <w:p>
            <w:pPr>
              <w:spacing w:before="80" w:after="80"/>
            </w:pPr>
            <w:r>
              <w:rPr>
                <w:rFonts w:ascii="Arial" w:hAnsi="Arial"/>
                <w:b w:val="0"/>
                <w:i w:val="0"/>
                <w:sz w:val="19"/>
              </w:rPr>
              <w:t>Retângulo regular — sem irregularidades</w:t>
            </w:r>
          </w:p>
        </w:tc>
      </w:tr>
      <w:tr>
        <w:tc>
          <w:tcPr>
            <w:tcW w:type="dxa" w:w="4536"/>
            <w:shd w:val="clear" w:color="auto" w:fill="D0E4F7"/>
          </w:tcPr>
          <w:p>
            <w:pPr>
              <w:spacing w:before="80" w:after="80"/>
            </w:pPr>
            <w:r>
              <w:rPr>
                <w:rFonts w:ascii="Arial" w:hAnsi="Arial"/>
                <w:b/>
                <w:i w:val="0"/>
                <w:sz w:val="19"/>
              </w:rPr>
              <w:t>Número de frentes</w:t>
            </w:r>
          </w:p>
        </w:tc>
        <w:tc>
          <w:tcPr>
            <w:tcW w:type="dxa" w:w="4536"/>
            <w:shd w:val="clear" w:color="auto" w:fill="EBF3FB"/>
          </w:tcPr>
          <w:p>
            <w:pPr>
              <w:spacing w:before="80" w:after="80"/>
            </w:pPr>
            <w:r>
              <w:rPr>
                <w:rFonts w:ascii="Arial" w:hAnsi="Arial"/>
                <w:b w:val="0"/>
                <w:i w:val="0"/>
                <w:sz w:val="19"/>
              </w:rPr>
              <w:t>1 frente (Av. José Salles) + 1 fundo cego (Rua 03)</w:t>
            </w:r>
          </w:p>
        </w:tc>
      </w:tr>
    </w:tbl>
    <w:p>
      <w:pPr>
        <w:spacing w:after="160"/>
      </w:pPr>
    </w:p>
    <w:p>
      <w:pPr>
        <w:spacing w:after="80"/>
        <w:jc w:val="both"/>
      </w:pPr>
      <w:r>
        <w:rPr>
          <w:rFonts w:ascii="Arial" w:hAnsi="Arial"/>
          <w:b/>
          <w:i w:val="0"/>
          <w:color w:val="2E7D32"/>
          <w:sz w:val="22"/>
        </w:rPr>
        <w:t>2.2  QD 93 — Grupamento Back-to-Back (LTs 19–23 / Rua 33 + LTs 29–32 / Rua 31)</w:t>
      </w:r>
    </w:p>
    <w:p>
      <w:pPr>
        <w:spacing w:after="80"/>
        <w:jc w:val="both"/>
      </w:pPr>
      <w:r>
        <w:rPr>
          <w:rFonts w:ascii="Arial" w:hAnsi="Arial"/>
          <w:b w:val="0"/>
          <w:i w:val="0"/>
          <w:sz w:val="21"/>
        </w:rPr>
        <w:t>O grupamento da QD 93 é formado por dois sub-grupos com os fundos encostados, conforme confirmado no mapa do loteamento. Os 5 lotes da Rua 33 (LTs 19–23) têm seus fundos diretamente adjacentes aos 4 lotes da Rua 31 (LTs 29–32), formando um bloco com duas frentes de rua e profundidade dobrada (~50 m). A geometria resultante é trapezoidal, pois o lado Rua 33 tem 5 lotes (51,1 m) e o lado Rua 31 tem 4 lotes (40,88 m).</w:t>
      </w:r>
    </w:p>
    <w:p>
      <w:pPr>
        <w:spacing w:after="80"/>
      </w:pP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C8E6C9"/>
          </w:tcPr>
          <w:p>
            <w:pPr>
              <w:spacing w:before="80" w:after="80"/>
            </w:pPr>
            <w:r>
              <w:rPr>
                <w:rFonts w:ascii="Arial" w:hAnsi="Arial"/>
                <w:b/>
                <w:i w:val="0"/>
                <w:sz w:val="19"/>
              </w:rPr>
              <w:t>Testada Rua 33 (LTs 19–23)</w:t>
            </w:r>
          </w:p>
        </w:tc>
        <w:tc>
          <w:tcPr>
            <w:tcW w:type="dxa" w:w="4536"/>
            <w:shd w:val="clear" w:color="auto" w:fill="EBF7EB"/>
          </w:tcPr>
          <w:p>
            <w:pPr>
              <w:spacing w:before="80" w:after="80"/>
            </w:pPr>
            <w:r>
              <w:rPr>
                <w:rFonts w:ascii="Arial" w:hAnsi="Arial"/>
                <w:b w:val="0"/>
                <w:i w:val="0"/>
                <w:sz w:val="19"/>
              </w:rPr>
              <w:t>51,10 m  (5 × 10,22 m)</w:t>
            </w:r>
          </w:p>
        </w:tc>
      </w:tr>
      <w:tr>
        <w:tc>
          <w:tcPr>
            <w:tcW w:type="dxa" w:w="4536"/>
            <w:shd w:val="clear" w:color="auto" w:fill="C8E6C9"/>
          </w:tcPr>
          <w:p>
            <w:pPr>
              <w:spacing w:before="80" w:after="80"/>
            </w:pPr>
            <w:r>
              <w:rPr>
                <w:rFonts w:ascii="Arial" w:hAnsi="Arial"/>
                <w:b/>
                <w:i w:val="0"/>
                <w:sz w:val="19"/>
              </w:rPr>
              <w:t>Testada Rua 31 (LTs 29–32)</w:t>
            </w:r>
          </w:p>
        </w:tc>
        <w:tc>
          <w:tcPr>
            <w:tcW w:type="dxa" w:w="4536"/>
            <w:shd w:val="clear" w:color="auto" w:fill="FFFFFF"/>
          </w:tcPr>
          <w:p>
            <w:pPr>
              <w:spacing w:before="80" w:after="80"/>
            </w:pPr>
            <w:r>
              <w:rPr>
                <w:rFonts w:ascii="Arial" w:hAnsi="Arial"/>
                <w:b w:val="0"/>
                <w:i w:val="0"/>
                <w:sz w:val="19"/>
              </w:rPr>
              <w:t>40,88 m  (4 × 10,22 m)</w:t>
            </w:r>
          </w:p>
        </w:tc>
      </w:tr>
      <w:tr>
        <w:tc>
          <w:tcPr>
            <w:tcW w:type="dxa" w:w="4536"/>
            <w:shd w:val="clear" w:color="auto" w:fill="C8E6C9"/>
          </w:tcPr>
          <w:p>
            <w:pPr>
              <w:spacing w:before="80" w:after="80"/>
            </w:pPr>
            <w:r>
              <w:rPr>
                <w:rFonts w:ascii="Arial" w:hAnsi="Arial"/>
                <w:b/>
                <w:i w:val="0"/>
                <w:sz w:val="19"/>
              </w:rPr>
              <w:t>Profundidade de cada lote</w:t>
            </w:r>
          </w:p>
        </w:tc>
        <w:tc>
          <w:tcPr>
            <w:tcW w:type="dxa" w:w="4536"/>
            <w:shd w:val="clear" w:color="auto" w:fill="EBF7EB"/>
          </w:tcPr>
          <w:p>
            <w:pPr>
              <w:spacing w:before="80" w:after="80"/>
            </w:pPr>
            <w:r>
              <w:rPr>
                <w:rFonts w:ascii="Arial" w:hAnsi="Arial"/>
                <w:b w:val="0"/>
                <w:i w:val="0"/>
                <w:sz w:val="19"/>
              </w:rPr>
              <w:t>25,00 m</w:t>
            </w:r>
          </w:p>
        </w:tc>
      </w:tr>
      <w:tr>
        <w:tc>
          <w:tcPr>
            <w:tcW w:type="dxa" w:w="4536"/>
            <w:shd w:val="clear" w:color="auto" w:fill="C8E6C9"/>
          </w:tcPr>
          <w:p>
            <w:pPr>
              <w:spacing w:before="80" w:after="80"/>
            </w:pPr>
            <w:r>
              <w:rPr>
                <w:rFonts w:ascii="Arial" w:hAnsi="Arial"/>
                <w:b/>
                <w:i w:val="0"/>
                <w:sz w:val="19"/>
              </w:rPr>
              <w:t>Profundidade total (fundo a fundo)</w:t>
            </w:r>
          </w:p>
        </w:tc>
        <w:tc>
          <w:tcPr>
            <w:tcW w:type="dxa" w:w="4536"/>
            <w:shd w:val="clear" w:color="auto" w:fill="FFFFFF"/>
          </w:tcPr>
          <w:p>
            <w:pPr>
              <w:spacing w:before="80" w:after="80"/>
            </w:pPr>
            <w:r>
              <w:rPr>
                <w:rFonts w:ascii="Arial" w:hAnsi="Arial"/>
                <w:b w:val="0"/>
                <w:i w:val="0"/>
                <w:sz w:val="19"/>
              </w:rPr>
              <w:t>~50,00 m</w:t>
            </w:r>
          </w:p>
        </w:tc>
      </w:tr>
      <w:tr>
        <w:tc>
          <w:tcPr>
            <w:tcW w:type="dxa" w:w="4536"/>
            <w:shd w:val="clear" w:color="auto" w:fill="C8E6C9"/>
          </w:tcPr>
          <w:p>
            <w:pPr>
              <w:spacing w:before="80" w:after="80"/>
            </w:pPr>
            <w:r>
              <w:rPr>
                <w:rFonts w:ascii="Arial" w:hAnsi="Arial"/>
                <w:b/>
                <w:i w:val="0"/>
                <w:sz w:val="19"/>
              </w:rPr>
              <w:t>Área total dos 9 lotes</w:t>
            </w:r>
          </w:p>
        </w:tc>
        <w:tc>
          <w:tcPr>
            <w:tcW w:type="dxa" w:w="4536"/>
            <w:shd w:val="clear" w:color="auto" w:fill="EBF7EB"/>
          </w:tcPr>
          <w:p>
            <w:pPr>
              <w:spacing w:before="80" w:after="80"/>
            </w:pPr>
            <w:r>
              <w:rPr>
                <w:rFonts w:ascii="Arial" w:hAnsi="Arial"/>
                <w:b w:val="0"/>
                <w:i w:val="0"/>
                <w:sz w:val="19"/>
              </w:rPr>
              <w:t>2.300,04 m²</w:t>
            </w:r>
          </w:p>
        </w:tc>
      </w:tr>
      <w:tr>
        <w:tc>
          <w:tcPr>
            <w:tcW w:type="dxa" w:w="4536"/>
            <w:shd w:val="clear" w:color="auto" w:fill="C8E6C9"/>
          </w:tcPr>
          <w:p>
            <w:pPr>
              <w:spacing w:before="80" w:after="80"/>
            </w:pPr>
            <w:r>
              <w:rPr>
                <w:rFonts w:ascii="Arial" w:hAnsi="Arial"/>
                <w:b/>
                <w:i w:val="0"/>
                <w:sz w:val="19"/>
              </w:rPr>
              <w:t>Área da zona de sobreposição</w:t>
            </w:r>
          </w:p>
        </w:tc>
        <w:tc>
          <w:tcPr>
            <w:tcW w:type="dxa" w:w="4536"/>
            <w:shd w:val="clear" w:color="auto" w:fill="FFFFFF"/>
          </w:tcPr>
          <w:p>
            <w:pPr>
              <w:spacing w:before="80" w:after="80"/>
            </w:pPr>
            <w:r>
              <w:rPr>
                <w:rFonts w:ascii="Arial" w:hAnsi="Arial"/>
                <w:b w:val="0"/>
                <w:i w:val="0"/>
                <w:sz w:val="19"/>
              </w:rPr>
              <w:t>~2.044 m²  (4 lotes × 50 m de prof.)</w:t>
            </w:r>
          </w:p>
        </w:tc>
      </w:tr>
      <w:tr>
        <w:tc>
          <w:tcPr>
            <w:tcW w:type="dxa" w:w="4536"/>
            <w:shd w:val="clear" w:color="auto" w:fill="C8E6C9"/>
          </w:tcPr>
          <w:p>
            <w:pPr>
              <w:spacing w:before="80" w:after="80"/>
            </w:pPr>
            <w:r>
              <w:rPr>
                <w:rFonts w:ascii="Arial" w:hAnsi="Arial"/>
                <w:b/>
                <w:i w:val="0"/>
                <w:sz w:val="19"/>
              </w:rPr>
              <w:t>Área da aba exclusiva (Rua 33)</w:t>
            </w:r>
          </w:p>
        </w:tc>
        <w:tc>
          <w:tcPr>
            <w:tcW w:type="dxa" w:w="4536"/>
            <w:shd w:val="clear" w:color="auto" w:fill="EBF7EB"/>
          </w:tcPr>
          <w:p>
            <w:pPr>
              <w:spacing w:before="80" w:after="80"/>
            </w:pPr>
            <w:r>
              <w:rPr>
                <w:rFonts w:ascii="Arial" w:hAnsi="Arial"/>
                <w:b w:val="0"/>
                <w:i w:val="0"/>
                <w:sz w:val="19"/>
              </w:rPr>
              <w:t>~255 m²  (1 lote adicional)</w:t>
            </w:r>
          </w:p>
        </w:tc>
      </w:tr>
      <w:tr>
        <w:tc>
          <w:tcPr>
            <w:tcW w:type="dxa" w:w="4536"/>
            <w:shd w:val="clear" w:color="auto" w:fill="C8E6C9"/>
          </w:tcPr>
          <w:p>
            <w:pPr>
              <w:spacing w:before="80" w:after="80"/>
            </w:pPr>
            <w:r>
              <w:rPr>
                <w:rFonts w:ascii="Arial" w:hAnsi="Arial"/>
                <w:b/>
                <w:i w:val="0"/>
                <w:sz w:val="19"/>
              </w:rPr>
              <w:t>Número de frentes</w:t>
            </w:r>
          </w:p>
        </w:tc>
        <w:tc>
          <w:tcPr>
            <w:tcW w:type="dxa" w:w="4536"/>
            <w:shd w:val="clear" w:color="auto" w:fill="FFFFFF"/>
          </w:tcPr>
          <w:p>
            <w:pPr>
              <w:spacing w:before="80" w:after="80"/>
            </w:pPr>
            <w:r>
              <w:rPr>
                <w:rFonts w:ascii="Arial" w:hAnsi="Arial"/>
                <w:b w:val="0"/>
                <w:i w:val="0"/>
                <w:sz w:val="19"/>
              </w:rPr>
              <w:t>2 frentes (Rua 33 e Rua 31)</w:t>
            </w:r>
          </w:p>
        </w:tc>
      </w:tr>
    </w:tbl>
    <w:p>
      <w:pPr>
        <w:spacing w:after="160"/>
      </w:pPr>
    </w:p>
    <w:p>
      <w:pPr>
        <w:pBdr>
          <w:bottom w:val="single" w:sz="6" w:space="1" w:color="2E75B6"/>
        </w:pBdr>
        <w:spacing w:before="280" w:after="120"/>
      </w:pPr>
      <w:r>
        <w:rPr>
          <w:rFonts w:ascii="Arial" w:hAnsi="Arial"/>
          <w:b/>
          <w:color w:val="1F3864"/>
          <w:sz w:val="26"/>
        </w:rPr>
        <w:t>3. Potencial Construtivo Estimado</w:t>
      </w:r>
    </w:p>
    <w:p>
      <w:pPr>
        <w:spacing w:after="80"/>
        <w:jc w:val="both"/>
      </w:pPr>
      <w:r>
        <w:rPr>
          <w:rFonts w:ascii="Arial" w:hAnsi="Arial"/>
          <w:b w:val="0"/>
          <w:i w:val="0"/>
          <w:sz w:val="21"/>
        </w:rPr>
        <w:t>As estimativas abaixo consideram parâmetros urbanísticos típicos para municípios do interior paraense com loteamentos aprovados: recuo frontal 5,00 m, recuos laterais 1,50 m, recuo de fundos 3,00 m, taxa de ocupação máxima 60%, coeficiente de aproveitamento 2,0 a 3,0. Todos os valores devem ser confirmados junto à Prefeitura de Castanhal antes do desenvolvimento do projeto.</w:t>
      </w:r>
    </w:p>
    <w:p>
      <w:pPr>
        <w:spacing w:after="120"/>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864"/>
          </w:tcPr>
          <w:p>
            <w:pPr>
              <w:spacing w:before="100" w:after="100"/>
              <w:jc w:val="center"/>
            </w:pPr>
            <w:r>
              <w:rPr>
                <w:rFonts w:ascii="Arial" w:hAnsi="Arial"/>
                <w:b/>
                <w:color w:val="FFFFFF"/>
                <w:sz w:val="18"/>
              </w:rPr>
              <w:t>Parâmetro</w:t>
            </w:r>
          </w:p>
        </w:tc>
        <w:tc>
          <w:tcPr>
            <w:tcW w:type="dxa" w:w="3024"/>
            <w:shd w:val="clear" w:color="auto" w:fill="1F3864"/>
          </w:tcPr>
          <w:p>
            <w:pPr>
              <w:spacing w:before="100" w:after="100"/>
              <w:jc w:val="center"/>
            </w:pPr>
            <w:r>
              <w:rPr>
                <w:rFonts w:ascii="Arial" w:hAnsi="Arial"/>
                <w:b/>
                <w:color w:val="FFFFFF"/>
                <w:sz w:val="18"/>
              </w:rPr>
              <w:t>QD 88 — Av. José Salles</w:t>
            </w:r>
          </w:p>
        </w:tc>
        <w:tc>
          <w:tcPr>
            <w:tcW w:type="dxa" w:w="3024"/>
            <w:shd w:val="clear" w:color="auto" w:fill="1F3864"/>
          </w:tcPr>
          <w:p>
            <w:pPr>
              <w:spacing w:before="100" w:after="100"/>
              <w:jc w:val="center"/>
            </w:pPr>
            <w:r>
              <w:rPr>
                <w:rFonts w:ascii="Arial" w:hAnsi="Arial"/>
                <w:b/>
                <w:color w:val="FFFFFF"/>
                <w:sz w:val="18"/>
              </w:rPr>
              <w:t>QD 93 — Back-to-Back</w:t>
            </w:r>
          </w:p>
        </w:tc>
      </w:tr>
      <w:tr>
        <w:tc>
          <w:tcPr>
            <w:tcW w:type="dxa" w:w="3024"/>
            <w:shd w:val="clear" w:color="auto" w:fill="E2EEF9"/>
          </w:tcPr>
          <w:p>
            <w:pPr>
              <w:spacing w:before="80" w:after="80"/>
            </w:pPr>
            <w:r>
              <w:rPr>
                <w:rFonts w:ascii="Arial" w:hAnsi="Arial"/>
                <w:b/>
                <w:i w:val="0"/>
                <w:sz w:val="19"/>
              </w:rPr>
              <w:t>Área do terreno</w:t>
            </w:r>
          </w:p>
        </w:tc>
        <w:tc>
          <w:tcPr>
            <w:tcW w:type="dxa" w:w="3024"/>
            <w:shd w:val="clear" w:color="auto" w:fill="F2F7FD"/>
          </w:tcPr>
          <w:p>
            <w:pPr>
              <w:spacing w:before="80" w:after="80"/>
              <w:jc w:val="center"/>
            </w:pPr>
            <w:r>
              <w:rPr>
                <w:rFonts w:ascii="Arial" w:hAnsi="Arial"/>
                <w:b w:val="0"/>
                <w:i w:val="0"/>
                <w:sz w:val="19"/>
              </w:rPr>
              <w:t>2.100 m²</w:t>
            </w:r>
          </w:p>
        </w:tc>
        <w:tc>
          <w:tcPr>
            <w:tcW w:type="dxa" w:w="3024"/>
            <w:shd w:val="clear" w:color="auto" w:fill="F0F7F0"/>
          </w:tcPr>
          <w:p>
            <w:pPr>
              <w:spacing w:before="80" w:after="80"/>
              <w:jc w:val="center"/>
            </w:pPr>
            <w:r>
              <w:rPr>
                <w:rFonts w:ascii="Arial" w:hAnsi="Arial"/>
                <w:b w:val="0"/>
                <w:i w:val="0"/>
                <w:sz w:val="19"/>
              </w:rPr>
              <w:t>2.300 m²</w:t>
            </w:r>
          </w:p>
        </w:tc>
      </w:tr>
      <w:tr>
        <w:tc>
          <w:tcPr>
            <w:tcW w:type="dxa" w:w="3024"/>
            <w:shd w:val="clear" w:color="auto" w:fill="E2EEF9"/>
          </w:tcPr>
          <w:p>
            <w:pPr>
              <w:spacing w:before="80" w:after="80"/>
            </w:pPr>
            <w:r>
              <w:rPr>
                <w:rFonts w:ascii="Arial" w:hAnsi="Arial"/>
                <w:b/>
                <w:i w:val="0"/>
                <w:sz w:val="19"/>
              </w:rPr>
              <w:t>Projeção útil por pavimento*</w:t>
            </w:r>
          </w:p>
        </w:tc>
        <w:tc>
          <w:tcPr>
            <w:tcW w:type="dxa" w:w="3024"/>
            <w:shd w:val="clear" w:color="auto" w:fill="FFFFFF"/>
          </w:tcPr>
          <w:p>
            <w:pPr>
              <w:spacing w:before="80" w:after="80"/>
              <w:jc w:val="center"/>
            </w:pPr>
            <w:r>
              <w:rPr>
                <w:rFonts w:ascii="Arial" w:hAnsi="Arial"/>
                <w:b w:val="0"/>
                <w:i w:val="0"/>
                <w:sz w:val="19"/>
              </w:rPr>
              <w:t>~1.300 m²</w:t>
            </w:r>
          </w:p>
        </w:tc>
        <w:tc>
          <w:tcPr>
            <w:tcW w:type="dxa" w:w="3024"/>
            <w:shd w:val="clear" w:color="auto" w:fill="FFFFFF"/>
          </w:tcPr>
          <w:p>
            <w:pPr>
              <w:spacing w:before="80" w:after="80"/>
              <w:jc w:val="center"/>
            </w:pPr>
            <w:r>
              <w:rPr>
                <w:rFonts w:ascii="Arial" w:hAnsi="Arial"/>
                <w:b w:val="0"/>
                <w:i w:val="0"/>
                <w:sz w:val="19"/>
              </w:rPr>
              <w:t>~1.350 m² (zona central + aba)</w:t>
            </w:r>
          </w:p>
        </w:tc>
      </w:tr>
      <w:tr>
        <w:tc>
          <w:tcPr>
            <w:tcW w:type="dxa" w:w="3024"/>
            <w:shd w:val="clear" w:color="auto" w:fill="E2EEF9"/>
          </w:tcPr>
          <w:p>
            <w:pPr>
              <w:spacing w:before="80" w:after="80"/>
            </w:pPr>
            <w:r>
              <w:rPr>
                <w:rFonts w:ascii="Arial" w:hAnsi="Arial"/>
                <w:b/>
                <w:i w:val="0"/>
                <w:sz w:val="19"/>
              </w:rPr>
              <w:t>Gabarito estimado viável</w:t>
            </w:r>
          </w:p>
        </w:tc>
        <w:tc>
          <w:tcPr>
            <w:tcW w:type="dxa" w:w="3024"/>
            <w:shd w:val="clear" w:color="auto" w:fill="F2F7FD"/>
          </w:tcPr>
          <w:p>
            <w:pPr>
              <w:spacing w:before="80" w:after="80"/>
              <w:jc w:val="center"/>
            </w:pPr>
            <w:r>
              <w:rPr>
                <w:rFonts w:ascii="Arial" w:hAnsi="Arial"/>
                <w:b w:val="0"/>
                <w:i w:val="0"/>
                <w:sz w:val="19"/>
              </w:rPr>
              <w:t>Térr. + 3 a 5 pav.</w:t>
            </w:r>
          </w:p>
        </w:tc>
        <w:tc>
          <w:tcPr>
            <w:tcW w:type="dxa" w:w="3024"/>
            <w:shd w:val="clear" w:color="auto" w:fill="F0F7F0"/>
          </w:tcPr>
          <w:p>
            <w:pPr>
              <w:spacing w:before="80" w:after="80"/>
              <w:jc w:val="center"/>
            </w:pPr>
            <w:r>
              <w:rPr>
                <w:rFonts w:ascii="Arial" w:hAnsi="Arial"/>
                <w:b w:val="0"/>
                <w:i w:val="0"/>
                <w:sz w:val="19"/>
              </w:rPr>
              <w:t>Térr. + 3 a 5 pav.</w:t>
            </w:r>
          </w:p>
        </w:tc>
      </w:tr>
      <w:tr>
        <w:tc>
          <w:tcPr>
            <w:tcW w:type="dxa" w:w="3024"/>
            <w:shd w:val="clear" w:color="auto" w:fill="E2EEF9"/>
          </w:tcPr>
          <w:p>
            <w:pPr>
              <w:spacing w:before="80" w:after="80"/>
            </w:pPr>
            <w:r>
              <w:rPr>
                <w:rFonts w:ascii="Arial" w:hAnsi="Arial"/>
                <w:b/>
                <w:i w:val="0"/>
                <w:sz w:val="19"/>
              </w:rPr>
              <w:t>Área construída estimada (CA 2,5)</w:t>
            </w:r>
          </w:p>
        </w:tc>
        <w:tc>
          <w:tcPr>
            <w:tcW w:type="dxa" w:w="3024"/>
            <w:shd w:val="clear" w:color="auto" w:fill="FFFFFF"/>
          </w:tcPr>
          <w:p>
            <w:pPr>
              <w:spacing w:before="80" w:after="80"/>
              <w:jc w:val="center"/>
            </w:pPr>
            <w:r>
              <w:rPr>
                <w:rFonts w:ascii="Arial" w:hAnsi="Arial"/>
                <w:b w:val="0"/>
                <w:i w:val="0"/>
                <w:sz w:val="19"/>
              </w:rPr>
              <w:t>~5.250 m²</w:t>
            </w:r>
          </w:p>
        </w:tc>
        <w:tc>
          <w:tcPr>
            <w:tcW w:type="dxa" w:w="3024"/>
            <w:shd w:val="clear" w:color="auto" w:fill="FFFFFF"/>
          </w:tcPr>
          <w:p>
            <w:pPr>
              <w:spacing w:before="80" w:after="80"/>
              <w:jc w:val="center"/>
            </w:pPr>
            <w:r>
              <w:rPr>
                <w:rFonts w:ascii="Arial" w:hAnsi="Arial"/>
                <w:b w:val="0"/>
                <w:i w:val="0"/>
                <w:sz w:val="19"/>
              </w:rPr>
              <w:t>~5.750 m²</w:t>
            </w:r>
          </w:p>
        </w:tc>
      </w:tr>
      <w:tr>
        <w:tc>
          <w:tcPr>
            <w:tcW w:type="dxa" w:w="3024"/>
            <w:shd w:val="clear" w:color="auto" w:fill="E2EEF9"/>
          </w:tcPr>
          <w:p>
            <w:pPr>
              <w:spacing w:before="80" w:after="80"/>
            </w:pPr>
            <w:r>
              <w:rPr>
                <w:rFonts w:ascii="Arial" w:hAnsi="Arial"/>
                <w:b/>
                <w:i w:val="0"/>
                <w:sz w:val="19"/>
              </w:rPr>
              <w:t>Unidades estimadas — tipo 55 m²</w:t>
            </w:r>
          </w:p>
        </w:tc>
        <w:tc>
          <w:tcPr>
            <w:tcW w:type="dxa" w:w="3024"/>
            <w:shd w:val="clear" w:color="auto" w:fill="F2F7FD"/>
          </w:tcPr>
          <w:p>
            <w:pPr>
              <w:spacing w:before="80" w:after="80"/>
              <w:jc w:val="center"/>
            </w:pPr>
            <w:r>
              <w:rPr>
                <w:rFonts w:ascii="Arial" w:hAnsi="Arial"/>
                <w:b w:val="0"/>
                <w:i w:val="0"/>
                <w:sz w:val="19"/>
              </w:rPr>
              <w:t>~70 a 80 unidades</w:t>
            </w:r>
          </w:p>
        </w:tc>
        <w:tc>
          <w:tcPr>
            <w:tcW w:type="dxa" w:w="3024"/>
            <w:shd w:val="clear" w:color="auto" w:fill="F0F7F0"/>
          </w:tcPr>
          <w:p>
            <w:pPr>
              <w:spacing w:before="80" w:after="80"/>
              <w:jc w:val="center"/>
            </w:pPr>
            <w:r>
              <w:rPr>
                <w:rFonts w:ascii="Arial" w:hAnsi="Arial"/>
                <w:b w:val="0"/>
                <w:i w:val="0"/>
                <w:sz w:val="19"/>
              </w:rPr>
              <w:t>~75 a 85 unidades</w:t>
            </w:r>
          </w:p>
        </w:tc>
      </w:tr>
      <w:tr>
        <w:tc>
          <w:tcPr>
            <w:tcW w:type="dxa" w:w="3024"/>
            <w:shd w:val="clear" w:color="auto" w:fill="E2EEF9"/>
          </w:tcPr>
          <w:p>
            <w:pPr>
              <w:spacing w:before="80" w:after="80"/>
            </w:pPr>
            <w:r>
              <w:rPr>
                <w:rFonts w:ascii="Arial" w:hAnsi="Arial"/>
                <w:b/>
                <w:i w:val="0"/>
                <w:sz w:val="19"/>
              </w:rPr>
              <w:t>Unidades estimadas — tipo 75 m²</w:t>
            </w:r>
          </w:p>
        </w:tc>
        <w:tc>
          <w:tcPr>
            <w:tcW w:type="dxa" w:w="3024"/>
            <w:shd w:val="clear" w:color="auto" w:fill="FFFFFF"/>
          </w:tcPr>
          <w:p>
            <w:pPr>
              <w:spacing w:before="80" w:after="80"/>
              <w:jc w:val="center"/>
            </w:pPr>
            <w:r>
              <w:rPr>
                <w:rFonts w:ascii="Arial" w:hAnsi="Arial"/>
                <w:b w:val="0"/>
                <w:i w:val="0"/>
                <w:sz w:val="19"/>
              </w:rPr>
              <w:t>~50 a 60 unidades</w:t>
            </w:r>
          </w:p>
        </w:tc>
        <w:tc>
          <w:tcPr>
            <w:tcW w:type="dxa" w:w="3024"/>
            <w:shd w:val="clear" w:color="auto" w:fill="FFFFFF"/>
          </w:tcPr>
          <w:p>
            <w:pPr>
              <w:spacing w:before="80" w:after="80"/>
              <w:jc w:val="center"/>
            </w:pPr>
            <w:r>
              <w:rPr>
                <w:rFonts w:ascii="Arial" w:hAnsi="Arial"/>
                <w:b w:val="0"/>
                <w:i w:val="0"/>
                <w:sz w:val="19"/>
              </w:rPr>
              <w:t>~55 a 65 unidades</w:t>
            </w:r>
          </w:p>
        </w:tc>
      </w:tr>
      <w:tr>
        <w:tc>
          <w:tcPr>
            <w:tcW w:type="dxa" w:w="3024"/>
            <w:shd w:val="clear" w:color="auto" w:fill="E2EEF9"/>
          </w:tcPr>
          <w:p>
            <w:pPr>
              <w:spacing w:before="80" w:after="80"/>
            </w:pPr>
            <w:r>
              <w:rPr>
                <w:rFonts w:ascii="Arial" w:hAnsi="Arial"/>
                <w:b/>
                <w:i w:val="0"/>
                <w:sz w:val="19"/>
              </w:rPr>
              <w:t>Vagas de garagem</w:t>
            </w:r>
          </w:p>
        </w:tc>
        <w:tc>
          <w:tcPr>
            <w:tcW w:type="dxa" w:w="3024"/>
            <w:shd w:val="clear" w:color="auto" w:fill="F2F7FD"/>
          </w:tcPr>
          <w:p>
            <w:pPr>
              <w:spacing w:before="80" w:after="80"/>
              <w:jc w:val="center"/>
            </w:pPr>
            <w:r>
              <w:rPr>
                <w:rFonts w:ascii="Arial" w:hAnsi="Arial"/>
                <w:b w:val="0"/>
                <w:i w:val="0"/>
                <w:sz w:val="19"/>
              </w:rPr>
              <w:t>Subsolo ou térreo — viável</w:t>
            </w:r>
          </w:p>
        </w:tc>
        <w:tc>
          <w:tcPr>
            <w:tcW w:type="dxa" w:w="3024"/>
            <w:shd w:val="clear" w:color="auto" w:fill="F0F7F0"/>
          </w:tcPr>
          <w:p>
            <w:pPr>
              <w:spacing w:before="80" w:after="80"/>
              <w:jc w:val="center"/>
            </w:pPr>
            <w:r>
              <w:rPr>
                <w:rFonts w:ascii="Arial" w:hAnsi="Arial"/>
                <w:b w:val="0"/>
                <w:i w:val="0"/>
                <w:sz w:val="19"/>
              </w:rPr>
              <w:t>Subsolo ou térreo — viável</w:t>
            </w:r>
          </w:p>
        </w:tc>
      </w:tr>
      <w:tr>
        <w:tc>
          <w:tcPr>
            <w:tcW w:type="dxa" w:w="3024"/>
            <w:shd w:val="clear" w:color="auto" w:fill="E2EEF9"/>
          </w:tcPr>
          <w:p>
            <w:pPr>
              <w:spacing w:before="80" w:after="80"/>
            </w:pPr>
            <w:r>
              <w:rPr>
                <w:rFonts w:ascii="Arial" w:hAnsi="Arial"/>
                <w:b/>
                <w:i w:val="0"/>
                <w:sz w:val="19"/>
              </w:rPr>
              <w:t>Acessos de veículos</w:t>
            </w:r>
          </w:p>
        </w:tc>
        <w:tc>
          <w:tcPr>
            <w:tcW w:type="dxa" w:w="3024"/>
            <w:shd w:val="clear" w:color="auto" w:fill="FFFFFF"/>
          </w:tcPr>
          <w:p>
            <w:pPr>
              <w:spacing w:before="80" w:after="80"/>
              <w:jc w:val="center"/>
            </w:pPr>
            <w:r>
              <w:rPr>
                <w:rFonts w:ascii="Arial" w:hAnsi="Arial"/>
                <w:b w:val="0"/>
                <w:i w:val="0"/>
                <w:sz w:val="19"/>
              </w:rPr>
              <w:t>1 a 2 rebaixos (60 m fr.)</w:t>
            </w:r>
          </w:p>
        </w:tc>
        <w:tc>
          <w:tcPr>
            <w:tcW w:type="dxa" w:w="3024"/>
            <w:shd w:val="clear" w:color="auto" w:fill="FFFFFF"/>
          </w:tcPr>
          <w:p>
            <w:pPr>
              <w:spacing w:before="80" w:after="80"/>
              <w:jc w:val="center"/>
            </w:pPr>
            <w:r>
              <w:rPr>
                <w:rFonts w:ascii="Arial" w:hAnsi="Arial"/>
                <w:b w:val="0"/>
                <w:i w:val="0"/>
                <w:sz w:val="19"/>
              </w:rPr>
              <w:t>2 rebaixos — 1 por rua</w:t>
            </w:r>
          </w:p>
        </w:tc>
      </w:tr>
    </w:tbl>
    <w:p>
      <w:pPr>
        <w:spacing w:after="80"/>
      </w:pPr>
    </w:p>
    <w:p>
      <w:pPr>
        <w:spacing w:after="160"/>
        <w:jc w:val="both"/>
      </w:pPr>
      <w:r>
        <w:rPr>
          <w:rFonts w:ascii="Arial" w:hAnsi="Arial"/>
          <w:b w:val="0"/>
          <w:i/>
          <w:color w:val="666666"/>
          <w:sz w:val="18"/>
        </w:rPr>
        <w:t>* Após recuos mínimos estimados. Confirmar CA e TO no zoneamento municipal.</w:t>
      </w:r>
    </w:p>
    <w:p>
      <w:pPr>
        <w:pBdr>
          <w:bottom w:val="single" w:sz="6" w:space="1" w:color="2E75B6"/>
        </w:pBdr>
        <w:spacing w:before="280" w:after="120"/>
      </w:pPr>
      <w:r>
        <w:rPr>
          <w:rFonts w:ascii="Arial" w:hAnsi="Arial"/>
          <w:b/>
          <w:color w:val="1F3864"/>
          <w:sz w:val="26"/>
        </w:rPr>
        <w:t>4. Análise Estratégica Comparativa</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374A5E"/>
          </w:tcPr>
          <w:p>
            <w:pPr>
              <w:spacing w:before="100" w:after="100"/>
              <w:jc w:val="center"/>
            </w:pPr>
            <w:r>
              <w:rPr>
                <w:rFonts w:ascii="Arial" w:hAnsi="Arial"/>
                <w:b/>
                <w:color w:val="FFFFFF"/>
                <w:sz w:val="20"/>
              </w:rPr>
            </w:r>
          </w:p>
        </w:tc>
        <w:tc>
          <w:tcPr>
            <w:tcW w:type="dxa" w:w="3024"/>
            <w:shd w:val="clear" w:color="auto" w:fill="1F5C9E"/>
          </w:tcPr>
          <w:p>
            <w:pPr>
              <w:spacing w:before="100" w:after="100"/>
              <w:jc w:val="center"/>
            </w:pPr>
            <w:r>
              <w:rPr>
                <w:rFonts w:ascii="Arial" w:hAnsi="Arial"/>
                <w:b/>
                <w:color w:val="FFFFFF"/>
                <w:sz w:val="20"/>
              </w:rPr>
              <w:t>QD 88 — Av. José Salles</w:t>
            </w:r>
          </w:p>
        </w:tc>
        <w:tc>
          <w:tcPr>
            <w:tcW w:type="dxa" w:w="3024"/>
            <w:shd w:val="clear" w:color="auto" w:fill="2E7D32"/>
          </w:tcPr>
          <w:p>
            <w:pPr>
              <w:spacing w:before="100" w:after="100"/>
              <w:jc w:val="center"/>
            </w:pPr>
            <w:r>
              <w:rPr>
                <w:rFonts w:ascii="Arial" w:hAnsi="Arial"/>
                <w:b/>
                <w:color w:val="FFFFFF"/>
                <w:sz w:val="20"/>
              </w:rPr>
              <w:t>QD 93 — Back-to-Back</w:t>
            </w:r>
          </w:p>
        </w:tc>
      </w:tr>
      <w:tr>
        <w:tc>
          <w:tcPr>
            <w:tcW w:type="dxa" w:w="3024"/>
            <w:shd w:val="clear" w:color="auto" w:fill="E8F5E9"/>
          </w:tcPr>
          <w:p>
            <w:pPr>
              <w:spacing w:before="100" w:after="100"/>
            </w:pPr>
            <w:r>
              <w:rPr>
                <w:rFonts w:ascii="Arial" w:hAnsi="Arial"/>
                <w:b/>
                <w:color w:val="1A5C1A"/>
                <w:sz w:val="19"/>
              </w:rPr>
              <w:t>VANTAGENS</w:t>
            </w:r>
          </w:p>
        </w:tc>
        <w:tc>
          <w:tcPr>
            <w:tcW w:type="dxa" w:w="3024"/>
            <w:shd w:val="clear" w:color="auto" w:fill="EBF3FB"/>
          </w:tcPr>
          <w:p>
            <w:pPr>
              <w:spacing w:before="100" w:after="100"/>
            </w:pPr>
            <w:r>
              <w:rPr>
                <w:rFonts w:ascii="Arial" w:hAnsi="Arial"/>
                <w:b w:val="0"/>
                <w:sz w:val="19"/>
              </w:rPr>
              <w:t>+ Localização premium (via principal)</w:t>
              <w:br/>
              <w:t>+ Geometria retangular ideal</w:t>
              <w:br/>
              <w:t>+ Valorização futura superior</w:t>
              <w:br/>
              <w:t>+ Produto de médio-alto padrão</w:t>
              <w:br/>
              <w:t>+ Acesso único — projeto mais simples</w:t>
              <w:br/>
              <w:t>+ Visibilidade comercial (loja no térreo)</w:t>
            </w:r>
          </w:p>
        </w:tc>
        <w:tc>
          <w:tcPr>
            <w:tcW w:type="dxa" w:w="3024"/>
            <w:shd w:val="clear" w:color="auto" w:fill="E8F5E9"/>
          </w:tcPr>
          <w:p>
            <w:pPr>
              <w:spacing w:before="100" w:after="100"/>
            </w:pPr>
            <w:r>
              <w:rPr>
                <w:rFonts w:ascii="Arial" w:hAnsi="Arial"/>
                <w:b w:val="0"/>
                <w:sz w:val="19"/>
              </w:rPr>
              <w:t>+ Maior área total (2.300 m²)</w:t>
              <w:br/>
              <w:t>+ Menor custo de aquisição (R$ 519/m²)</w:t>
              <w:br/>
              <w:t>+ Duas frentes = dois acessos independentes</w:t>
              <w:br/>
              <w:t>+ Profundidade de 50 m viabiliza subsolos</w:t>
              <w:br/>
              <w:t>+ Menor VGV necessário para viabilidade</w:t>
              <w:br/>
              <w:t>+ Melhor custo-benefício para MCMV F2/F3</w:t>
            </w:r>
          </w:p>
        </w:tc>
      </w:tr>
      <w:tr>
        <w:tc>
          <w:tcPr>
            <w:tcW w:type="dxa" w:w="3024"/>
            <w:shd w:val="clear" w:color="auto" w:fill="FFF3E0"/>
          </w:tcPr>
          <w:p>
            <w:pPr>
              <w:spacing w:before="100" w:after="100"/>
            </w:pPr>
            <w:r>
              <w:rPr>
                <w:rFonts w:ascii="Arial" w:hAnsi="Arial"/>
                <w:b/>
                <w:color w:val="7B3F00"/>
                <w:sz w:val="19"/>
              </w:rPr>
              <w:t>PONTOS DE ATENÇÃO</w:t>
            </w:r>
          </w:p>
        </w:tc>
        <w:tc>
          <w:tcPr>
            <w:tcW w:type="dxa" w:w="3024"/>
            <w:shd w:val="clear" w:color="auto" w:fill="FFF8E1"/>
          </w:tcPr>
          <w:p>
            <w:pPr>
              <w:spacing w:before="100" w:after="100"/>
            </w:pPr>
            <w:r>
              <w:rPr>
                <w:rFonts w:ascii="Arial" w:hAnsi="Arial"/>
                <w:b w:val="0"/>
                <w:sz w:val="19"/>
              </w:rPr>
              <w:t>− Custo quase 2× maior (R$ 971/m²)</w:t>
              <w:br/>
              <w:t>− Fundo sem aproveitamento (Rua 03)</w:t>
              <w:br/>
              <w:t>− Pressão de valor de venda mais elevada</w:t>
              <w:br/>
              <w:t>− Risco de absorção lenta em mercado local</w:t>
              <w:br/>
              <w:t>− Confirmar faixa de domínio da Av. J. Salles</w:t>
            </w:r>
          </w:p>
        </w:tc>
        <w:tc>
          <w:tcPr>
            <w:tcW w:type="dxa" w:w="3024"/>
            <w:shd w:val="clear" w:color="auto" w:fill="FFF8E1"/>
          </w:tcPr>
          <w:p>
            <w:pPr>
              <w:spacing w:before="100" w:after="100"/>
            </w:pPr>
            <w:r>
              <w:rPr>
                <w:rFonts w:ascii="Arial" w:hAnsi="Arial"/>
                <w:b w:val="0"/>
                <w:sz w:val="19"/>
              </w:rPr>
              <w:t>− Geometria não-ortogonal (5 lotes vs 4 lotes)</w:t>
              <w:br/>
              <w:t>− Dois registros/matrículas para unificar</w:t>
              <w:br/>
              <w:t>− Projeto de fundações mais complexo</w:t>
              <w:br/>
              <w:t>− Rua 31 e Rua 33: ruas internas (menor valor)</w:t>
              <w:br/>
              <w:t>− Back-to-back exige análise de drenagem</w:t>
            </w:r>
          </w:p>
        </w:tc>
      </w:tr>
    </w:tbl>
    <w:p>
      <w:pPr>
        <w:spacing w:after="160"/>
      </w:pPr>
    </w:p>
    <w:p>
      <w:pPr>
        <w:pBdr>
          <w:bottom w:val="single" w:sz="6" w:space="1" w:color="2E75B6"/>
        </w:pBdr>
        <w:spacing w:before="280" w:after="120"/>
      </w:pPr>
      <w:r>
        <w:rPr>
          <w:rFonts w:ascii="Arial" w:hAnsi="Arial"/>
          <w:b/>
          <w:color w:val="1F3864"/>
          <w:sz w:val="26"/>
        </w:rPr>
        <w:t>5. Pontos Específicos para o Projeto Arquitetônico</w:t>
      </w:r>
    </w:p>
    <w:p>
      <w:pPr>
        <w:spacing w:after="60"/>
        <w:jc w:val="both"/>
      </w:pPr>
      <w:r>
        <w:rPr>
          <w:rFonts w:ascii="Arial" w:hAnsi="Arial"/>
          <w:b/>
          <w:i w:val="0"/>
          <w:color w:val="1F5C9E"/>
          <w:sz w:val="22"/>
        </w:rPr>
        <w:t>5.1  QD 88 — Av. José Salles</w:t>
      </w:r>
    </w:p>
    <w:p>
      <w:pPr>
        <w:pStyle w:val="ListBullet"/>
        <w:spacing w:after="60"/>
      </w:pPr>
      <w:r>
        <w:rPr>
          <w:rFonts w:ascii="Arial" w:hAnsi="Arial"/>
          <w:sz w:val="21"/>
        </w:rPr>
        <w:t>Implantação: retangular pura — facilita modulação estrutural e aproveitamento máximo de área.</w:t>
      </w:r>
    </w:p>
    <w:p>
      <w:pPr>
        <w:pStyle w:val="ListBullet"/>
        <w:spacing w:after="60"/>
      </w:pPr>
      <w:r>
        <w:rPr>
          <w:rFonts w:ascii="Arial" w:hAnsi="Arial"/>
          <w:sz w:val="21"/>
        </w:rPr>
        <w:t>Térreo comercial: testada de 60 m é excelente para lojas, galeria ou lobby amplo com impacto visual na avenida.</w:t>
      </w:r>
    </w:p>
    <w:p>
      <w:pPr>
        <w:pStyle w:val="ListBullet"/>
        <w:spacing w:after="60"/>
      </w:pPr>
      <w:r>
        <w:rPr>
          <w:rFonts w:ascii="Arial" w:hAnsi="Arial"/>
          <w:sz w:val="21"/>
        </w:rPr>
        <w:t>Recuo frontal obrigatório (Av. José Salles): verificar se a prefeitura exige recuo maior por ser via coletora — pode impactar vagas de garagem e acesso.</w:t>
      </w:r>
    </w:p>
    <w:p>
      <w:pPr>
        <w:pStyle w:val="ListBullet"/>
        <w:spacing w:after="60"/>
      </w:pPr>
      <w:r>
        <w:rPr>
          <w:rFonts w:ascii="Arial" w:hAnsi="Arial"/>
          <w:sz w:val="21"/>
        </w:rPr>
        <w:t>Ventilação e insolação: frente Leste ou Oeste conforme orientação da avenida — definir após levantamento topográfico.</w:t>
      </w:r>
    </w:p>
    <w:p>
      <w:pPr>
        <w:pStyle w:val="ListBullet"/>
        <w:spacing w:after="60"/>
      </w:pPr>
      <w:r>
        <w:rPr>
          <w:rFonts w:ascii="Arial" w:hAnsi="Arial"/>
          <w:sz w:val="21"/>
        </w:rPr>
        <w:t>Fundos (Rua 03): apenas LT 48 disponível como fundo de quintal — sem potencial de expansão back-to-back.</w:t>
      </w:r>
    </w:p>
    <w:p>
      <w:pPr>
        <w:spacing w:after="120"/>
      </w:pPr>
    </w:p>
    <w:p>
      <w:pPr>
        <w:spacing w:after="60"/>
        <w:jc w:val="both"/>
      </w:pPr>
      <w:r>
        <w:rPr>
          <w:rFonts w:ascii="Arial" w:hAnsi="Arial"/>
          <w:b/>
          <w:i w:val="0"/>
          <w:color w:val="2E7D32"/>
          <w:sz w:val="22"/>
        </w:rPr>
        <w:t>5.2  QD 93 — Back-to-Back (Rua 33 + Rua 31)</w:t>
      </w:r>
    </w:p>
    <w:p>
      <w:pPr>
        <w:pStyle w:val="ListBullet"/>
        <w:spacing w:after="60"/>
      </w:pPr>
      <w:r>
        <w:rPr>
          <w:rFonts w:ascii="Arial" w:hAnsi="Arial"/>
          <w:sz w:val="21"/>
        </w:rPr>
        <w:t>Geometria em trapézio: a diferença de 1 lote entre as frentes (5 vs 4) cria uma aba de ~10,22 m × 25 m no lado da Rua 33 — explorar como torre secundária, garden units ou área de lazer.</w:t>
      </w:r>
    </w:p>
    <w:p>
      <w:pPr>
        <w:pStyle w:val="ListBullet"/>
        <w:spacing w:after="60"/>
      </w:pPr>
      <w:r>
        <w:rPr>
          <w:rFonts w:ascii="Arial" w:hAnsi="Arial"/>
          <w:sz w:val="21"/>
        </w:rPr>
        <w:t>Profundidade de 50 m: permite subsolo de garagem estendido, piscina, área de lazer no interior e dois lobbies independentes (um por rua).</w:t>
      </w:r>
    </w:p>
    <w:p>
      <w:pPr>
        <w:pStyle w:val="ListBullet"/>
        <w:spacing w:after="60"/>
      </w:pPr>
      <w:r>
        <w:rPr>
          <w:rFonts w:ascii="Arial" w:hAnsi="Arial"/>
          <w:sz w:val="21"/>
        </w:rPr>
        <w:t>Linha de fundos: a divisa de fundo entre os lotes das duas ruas é virtual — após unificação, não existe mais restrição. Verificar se há alguma cota de drenagem nessa linha.</w:t>
      </w:r>
    </w:p>
    <w:p>
      <w:pPr>
        <w:pStyle w:val="ListBullet"/>
        <w:spacing w:after="60"/>
      </w:pPr>
      <w:r>
        <w:rPr>
          <w:rFonts w:ascii="Arial" w:hAnsi="Arial"/>
          <w:sz w:val="21"/>
        </w:rPr>
        <w:t>Dois acessos: possibilidade de circulação separada de moradores e serviço, ou dois condomínios com gestão independente no mesmo terreno.</w:t>
      </w:r>
    </w:p>
    <w:p>
      <w:pPr>
        <w:pStyle w:val="ListBullet"/>
        <w:spacing w:after="60"/>
      </w:pPr>
      <w:r>
        <w:rPr>
          <w:rFonts w:ascii="Arial" w:hAnsi="Arial"/>
          <w:sz w:val="21"/>
        </w:rPr>
        <w:t>Infraestrutura das duas ruas: verificar se Rua 33 e Rua 31 têm rede de água, esgoto e energia já executadas — condição para emissão de alvará.</w:t>
      </w:r>
    </w:p>
    <w:p>
      <w:pPr>
        <w:pStyle w:val="ListBullet"/>
        <w:spacing w:after="60"/>
      </w:pPr>
      <w:r>
        <w:rPr>
          <w:rFonts w:ascii="Arial" w:hAnsi="Arial"/>
          <w:sz w:val="21"/>
        </w:rPr>
        <w:t>Levantamento planialtimétrico: indispensável para confirmar a cota de cada lote e se não há desnível relevante entre Rua 33 e Rua 31.</w:t>
      </w:r>
    </w:p>
    <w:p>
      <w:pPr>
        <w:spacing w:after="160"/>
      </w:pPr>
    </w:p>
    <w:p>
      <w:pPr>
        <w:pBdr>
          <w:bottom w:val="single" w:sz="6" w:space="1" w:color="2E75B6"/>
        </w:pBdr>
        <w:spacing w:before="280" w:after="120"/>
      </w:pPr>
      <w:r>
        <w:rPr>
          <w:rFonts w:ascii="Arial" w:hAnsi="Arial"/>
          <w:b/>
          <w:color w:val="1F3864"/>
          <w:sz w:val="26"/>
        </w:rPr>
        <w:t>6. Fluxo de Aquisição Parcelada — Plano "Sinal 5x + 200 Parcelas"</w:t>
      </w:r>
    </w:p>
    <w:p>
      <w:pPr>
        <w:spacing w:after="80"/>
        <w:jc w:val="both"/>
      </w:pPr>
      <w:r>
        <w:rPr>
          <w:rFonts w:ascii="Arial" w:hAnsi="Arial"/>
          <w:b w:val="0"/>
          <w:i w:val="0"/>
          <w:sz w:val="21"/>
        </w:rPr>
        <w:t>Modalidade de aquisição com recursos próprios, sem financiamento bancário, utilizando o plano parcelado disponibilizado pela Valle/ESalles (Tabela de Preços 02/02/2026). O Sinal equivale a 5% do ValorTerreno e é pago em 5 parcelas mensais iguais (Sinal 5x); o Saldo remanescente é pago em 200 parcelas mensais (200x). A análise abaixo considera o preço Promocional (Promo) como base de cálculo.</w:t>
      </w:r>
    </w:p>
    <w:p>
      <w:pPr>
        <w:spacing w:after="120"/>
      </w:pPr>
    </w:p>
    <w:p>
      <w:pPr>
        <w:spacing w:after="80"/>
        <w:jc w:val="both"/>
      </w:pPr>
      <w:r>
        <w:rPr>
          <w:rFonts w:ascii="Arial" w:hAnsi="Arial"/>
          <w:b/>
          <w:i w:val="0"/>
          <w:color w:val="2E7D32"/>
          <w:sz w:val="22"/>
        </w:rPr>
        <w:t>6.1  QD 93 — Valores Exatos da Tabela de Preços (9 lotes)</w:t>
      </w:r>
    </w:p>
    <w:p>
      <w:pPr>
        <w:spacing w:after="80"/>
        <w:jc w:val="both"/>
      </w:pPr>
      <w:r>
        <w:rPr>
          <w:rFonts w:ascii="Arial" w:hAnsi="Arial"/>
          <w:b w:val="0"/>
          <w:i w:val="0"/>
          <w:sz w:val="21"/>
        </w:rPr>
        <w:t>Os valores abaixo provêm diretamente da Tabela de Preços Valle/ESalles (02/02/2026), páginas referentes à QD 093, faixa LTs 006–023 (Rua 33) e LTs 029–046 (Rua 31).</w:t>
      </w:r>
    </w:p>
    <w:p>
      <w:pPr>
        <w:spacing w:after="80"/>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2E7D32"/>
          </w:tcPr>
          <w:p>
            <w:pPr>
              <w:spacing w:before="100" w:after="100"/>
              <w:jc w:val="center"/>
            </w:pPr>
            <w:r>
              <w:rPr>
                <w:rFonts w:ascii="Arial" w:hAnsi="Arial"/>
                <w:b/>
                <w:color w:val="FFFFFF"/>
                <w:sz w:val="18"/>
              </w:rPr>
              <w:t>Componente</w:t>
            </w:r>
          </w:p>
        </w:tc>
        <w:tc>
          <w:tcPr>
            <w:tcW w:type="dxa" w:w="2268"/>
            <w:shd w:val="clear" w:color="auto" w:fill="2E7D32"/>
          </w:tcPr>
          <w:p>
            <w:pPr>
              <w:spacing w:before="100" w:after="100"/>
              <w:jc w:val="center"/>
            </w:pPr>
            <w:r>
              <w:rPr>
                <w:rFonts w:ascii="Arial" w:hAnsi="Arial"/>
                <w:b/>
                <w:color w:val="FFFFFF"/>
                <w:sz w:val="18"/>
              </w:rPr>
              <w:t>Por lote — Rua 33</w:t>
              <w:br/>
              <w:t>(LTs 19–23)</w:t>
            </w:r>
          </w:p>
        </w:tc>
        <w:tc>
          <w:tcPr>
            <w:tcW w:type="dxa" w:w="2268"/>
            <w:shd w:val="clear" w:color="auto" w:fill="2E7D32"/>
          </w:tcPr>
          <w:p>
            <w:pPr>
              <w:spacing w:before="100" w:after="100"/>
              <w:jc w:val="center"/>
            </w:pPr>
            <w:r>
              <w:rPr>
                <w:rFonts w:ascii="Arial" w:hAnsi="Arial"/>
                <w:b/>
                <w:color w:val="FFFFFF"/>
                <w:sz w:val="18"/>
              </w:rPr>
              <w:t>Por lote — Rua 31</w:t>
              <w:br/>
              <w:t>(LTs 29–32)</w:t>
            </w:r>
          </w:p>
        </w:tc>
        <w:tc>
          <w:tcPr>
            <w:tcW w:type="dxa" w:w="2268"/>
            <w:shd w:val="clear" w:color="auto" w:fill="2E7D32"/>
          </w:tcPr>
          <w:p>
            <w:pPr>
              <w:spacing w:before="100" w:after="100"/>
              <w:jc w:val="center"/>
            </w:pPr>
            <w:r>
              <w:rPr>
                <w:rFonts w:ascii="Arial" w:hAnsi="Arial"/>
                <w:b/>
                <w:color w:val="FFFFFF"/>
                <w:sz w:val="18"/>
              </w:rPr>
              <w:t>Total Grupamento</w:t>
              <w:br/>
              <w:t>(9 lotes)</w:t>
            </w:r>
          </w:p>
        </w:tc>
      </w:tr>
      <w:tr>
        <w:tc>
          <w:tcPr>
            <w:tcW w:type="dxa" w:w="2268"/>
            <w:shd w:val="clear" w:color="auto" w:fill="D4EDDA"/>
          </w:tcPr>
          <w:p>
            <w:pPr>
              <w:spacing w:before="80" w:after="80"/>
            </w:pPr>
            <w:r>
              <w:rPr>
                <w:rFonts w:ascii="Arial" w:hAnsi="Arial"/>
                <w:b/>
                <w:i w:val="0"/>
                <w:sz w:val="19"/>
              </w:rPr>
              <w:t>ValorTerreno (tabela)</w:t>
            </w:r>
          </w:p>
        </w:tc>
        <w:tc>
          <w:tcPr>
            <w:tcW w:type="dxa" w:w="2268"/>
            <w:shd w:val="clear" w:color="auto" w:fill="EBF7EB"/>
          </w:tcPr>
          <w:p>
            <w:pPr>
              <w:spacing w:before="80" w:after="80"/>
              <w:jc w:val="center"/>
            </w:pPr>
            <w:r>
              <w:rPr>
                <w:rFonts w:ascii="Arial" w:hAnsi="Arial"/>
                <w:b w:val="0"/>
                <w:i w:val="0"/>
                <w:sz w:val="19"/>
              </w:rPr>
              <w:t>R$ 131.603,18</w:t>
            </w:r>
          </w:p>
        </w:tc>
        <w:tc>
          <w:tcPr>
            <w:tcW w:type="dxa" w:w="2268"/>
            <w:shd w:val="clear" w:color="auto" w:fill="EBF7EB"/>
          </w:tcPr>
          <w:p>
            <w:pPr>
              <w:spacing w:before="80" w:after="80"/>
              <w:jc w:val="center"/>
            </w:pPr>
            <w:r>
              <w:rPr>
                <w:rFonts w:ascii="Arial" w:hAnsi="Arial"/>
                <w:b w:val="0"/>
                <w:i w:val="0"/>
                <w:sz w:val="19"/>
              </w:rPr>
              <w:t>R$ 134.202,22</w:t>
            </w:r>
          </w:p>
        </w:tc>
        <w:tc>
          <w:tcPr>
            <w:tcW w:type="dxa" w:w="2268"/>
            <w:shd w:val="clear" w:color="auto" w:fill="EBF7EB"/>
          </w:tcPr>
          <w:p>
            <w:pPr>
              <w:spacing w:before="80" w:after="80"/>
              <w:jc w:val="center"/>
            </w:pPr>
            <w:r>
              <w:rPr>
                <w:rFonts w:ascii="Arial" w:hAnsi="Arial"/>
                <w:b w:val="0"/>
                <w:i w:val="0"/>
                <w:sz w:val="19"/>
              </w:rPr>
              <w:t>R$ 1.194.824,78</w:t>
            </w:r>
          </w:p>
        </w:tc>
      </w:tr>
      <w:tr>
        <w:tc>
          <w:tcPr>
            <w:tcW w:type="dxa" w:w="2268"/>
            <w:shd w:val="clear" w:color="auto" w:fill="D4EDDA"/>
          </w:tcPr>
          <w:p>
            <w:pPr>
              <w:spacing w:before="80" w:after="80"/>
            </w:pPr>
            <w:r>
              <w:rPr>
                <w:rFonts w:ascii="Arial" w:hAnsi="Arial"/>
                <w:b/>
                <w:i w:val="0"/>
                <w:sz w:val="19"/>
              </w:rPr>
              <w:t>Valor Promocional (Promo)</w:t>
            </w:r>
          </w:p>
        </w:tc>
        <w:tc>
          <w:tcPr>
            <w:tcW w:type="dxa" w:w="2268"/>
            <w:shd w:val="clear" w:color="auto" w:fill="FFFFFF"/>
          </w:tcPr>
          <w:p>
            <w:pPr>
              <w:spacing w:before="80" w:after="80"/>
              <w:jc w:val="center"/>
            </w:pPr>
            <w:r>
              <w:rPr>
                <w:rFonts w:ascii="Arial" w:hAnsi="Arial"/>
                <w:b w:val="0"/>
                <w:i w:val="0"/>
                <w:sz w:val="19"/>
              </w:rPr>
              <w:t>R$ 107.848,81</w:t>
            </w:r>
          </w:p>
        </w:tc>
        <w:tc>
          <w:tcPr>
            <w:tcW w:type="dxa" w:w="2268"/>
            <w:shd w:val="clear" w:color="auto" w:fill="FFFFFF"/>
          </w:tcPr>
          <w:p>
            <w:pPr>
              <w:spacing w:before="80" w:after="80"/>
              <w:jc w:val="center"/>
            </w:pPr>
            <w:r>
              <w:rPr>
                <w:rFonts w:ascii="Arial" w:hAnsi="Arial"/>
                <w:b w:val="0"/>
                <w:i w:val="0"/>
                <w:sz w:val="19"/>
              </w:rPr>
              <w:t>R$ 109.978,72</w:t>
            </w:r>
          </w:p>
        </w:tc>
        <w:tc>
          <w:tcPr>
            <w:tcW w:type="dxa" w:w="2268"/>
            <w:shd w:val="clear" w:color="auto" w:fill="FFFFFF"/>
          </w:tcPr>
          <w:p>
            <w:pPr>
              <w:spacing w:before="80" w:after="80"/>
              <w:jc w:val="center"/>
            </w:pPr>
            <w:r>
              <w:rPr>
                <w:rFonts w:ascii="Arial" w:hAnsi="Arial"/>
                <w:b w:val="0"/>
                <w:i w:val="0"/>
                <w:sz w:val="19"/>
              </w:rPr>
              <w:t>R$ 979.158,93</w:t>
            </w:r>
          </w:p>
        </w:tc>
      </w:tr>
      <w:tr>
        <w:tc>
          <w:tcPr>
            <w:tcW w:type="dxa" w:w="2268"/>
            <w:shd w:val="clear" w:color="auto" w:fill="D4EDDA"/>
          </w:tcPr>
          <w:p>
            <w:pPr>
              <w:spacing w:before="80" w:after="80"/>
            </w:pPr>
            <w:r>
              <w:rPr>
                <w:rFonts w:ascii="Arial" w:hAnsi="Arial"/>
                <w:b/>
                <w:i w:val="0"/>
                <w:sz w:val="19"/>
              </w:rPr>
              <w:t>Sinal (5% do ValorTerreno)</w:t>
            </w:r>
          </w:p>
        </w:tc>
        <w:tc>
          <w:tcPr>
            <w:tcW w:type="dxa" w:w="2268"/>
            <w:shd w:val="clear" w:color="auto" w:fill="EBF7EB"/>
          </w:tcPr>
          <w:p>
            <w:pPr>
              <w:spacing w:before="80" w:after="80"/>
              <w:jc w:val="center"/>
            </w:pPr>
            <w:r>
              <w:rPr>
                <w:rFonts w:ascii="Arial" w:hAnsi="Arial"/>
                <w:b w:val="0"/>
                <w:i w:val="0"/>
                <w:sz w:val="19"/>
              </w:rPr>
              <w:t>R$ 6.580,16</w:t>
            </w:r>
          </w:p>
        </w:tc>
        <w:tc>
          <w:tcPr>
            <w:tcW w:type="dxa" w:w="2268"/>
            <w:shd w:val="clear" w:color="auto" w:fill="EBF7EB"/>
          </w:tcPr>
          <w:p>
            <w:pPr>
              <w:spacing w:before="80" w:after="80"/>
              <w:jc w:val="center"/>
            </w:pPr>
            <w:r>
              <w:rPr>
                <w:rFonts w:ascii="Arial" w:hAnsi="Arial"/>
                <w:b w:val="0"/>
                <w:i w:val="0"/>
                <w:sz w:val="19"/>
              </w:rPr>
              <w:t>R$ 6.710,11</w:t>
            </w:r>
          </w:p>
        </w:tc>
        <w:tc>
          <w:tcPr>
            <w:tcW w:type="dxa" w:w="2268"/>
            <w:shd w:val="clear" w:color="auto" w:fill="EBF7EB"/>
          </w:tcPr>
          <w:p>
            <w:pPr>
              <w:spacing w:before="80" w:after="80"/>
              <w:jc w:val="center"/>
            </w:pPr>
            <w:r>
              <w:rPr>
                <w:rFonts w:ascii="Arial" w:hAnsi="Arial"/>
                <w:b w:val="0"/>
                <w:i w:val="0"/>
                <w:sz w:val="19"/>
              </w:rPr>
              <w:t>R$ 59.741,24</w:t>
            </w:r>
          </w:p>
        </w:tc>
      </w:tr>
      <w:tr>
        <w:tc>
          <w:tcPr>
            <w:tcW w:type="dxa" w:w="2268"/>
            <w:shd w:val="clear" w:color="auto" w:fill="D4EDDA"/>
          </w:tcPr>
          <w:p>
            <w:pPr>
              <w:spacing w:before="80" w:after="80"/>
            </w:pPr>
            <w:r>
              <w:rPr>
                <w:rFonts w:ascii="Arial" w:hAnsi="Arial"/>
                <w:b/>
                <w:i w:val="0"/>
                <w:sz w:val="19"/>
              </w:rPr>
              <w:t>Saldo (Promo − Sinal)</w:t>
            </w:r>
          </w:p>
        </w:tc>
        <w:tc>
          <w:tcPr>
            <w:tcW w:type="dxa" w:w="2268"/>
            <w:shd w:val="clear" w:color="auto" w:fill="FFFFFF"/>
          </w:tcPr>
          <w:p>
            <w:pPr>
              <w:spacing w:before="80" w:after="80"/>
              <w:jc w:val="center"/>
            </w:pPr>
            <w:r>
              <w:rPr>
                <w:rFonts w:ascii="Arial" w:hAnsi="Arial"/>
                <w:b w:val="0"/>
                <w:i w:val="0"/>
                <w:sz w:val="19"/>
              </w:rPr>
              <w:t>R$ 101.268,65</w:t>
            </w:r>
          </w:p>
        </w:tc>
        <w:tc>
          <w:tcPr>
            <w:tcW w:type="dxa" w:w="2268"/>
            <w:shd w:val="clear" w:color="auto" w:fill="FFFFFF"/>
          </w:tcPr>
          <w:p>
            <w:pPr>
              <w:spacing w:before="80" w:after="80"/>
              <w:jc w:val="center"/>
            </w:pPr>
            <w:r>
              <w:rPr>
                <w:rFonts w:ascii="Arial" w:hAnsi="Arial"/>
                <w:b w:val="0"/>
                <w:i w:val="0"/>
                <w:sz w:val="19"/>
              </w:rPr>
              <w:t>R$ 103.268,61</w:t>
            </w:r>
          </w:p>
        </w:tc>
        <w:tc>
          <w:tcPr>
            <w:tcW w:type="dxa" w:w="2268"/>
            <w:shd w:val="clear" w:color="auto" w:fill="FFFFFF"/>
          </w:tcPr>
          <w:p>
            <w:pPr>
              <w:spacing w:before="80" w:after="80"/>
              <w:jc w:val="center"/>
            </w:pPr>
            <w:r>
              <w:rPr>
                <w:rFonts w:ascii="Arial" w:hAnsi="Arial"/>
                <w:b w:val="0"/>
                <w:i w:val="0"/>
                <w:sz w:val="19"/>
              </w:rPr>
              <w:t>R$ 919.417,69</w:t>
            </w:r>
          </w:p>
        </w:tc>
      </w:tr>
      <w:tr>
        <w:tc>
          <w:tcPr>
            <w:tcW w:type="dxa" w:w="2268"/>
            <w:shd w:val="clear" w:color="auto" w:fill="D4EDDA"/>
          </w:tcPr>
          <w:p>
            <w:pPr>
              <w:spacing w:before="80" w:after="80"/>
            </w:pPr>
            <w:r>
              <w:rPr>
                <w:rFonts w:ascii="Arial" w:hAnsi="Arial"/>
                <w:b/>
                <w:i w:val="0"/>
                <w:sz w:val="19"/>
              </w:rPr>
              <w:t>Parcela Sinal 5x (mensal)</w:t>
            </w:r>
          </w:p>
        </w:tc>
        <w:tc>
          <w:tcPr>
            <w:tcW w:type="dxa" w:w="2268"/>
            <w:shd w:val="clear" w:color="auto" w:fill="EBF7EB"/>
          </w:tcPr>
          <w:p>
            <w:pPr>
              <w:spacing w:before="80" w:after="80"/>
              <w:jc w:val="center"/>
            </w:pPr>
            <w:r>
              <w:rPr>
                <w:rFonts w:ascii="Arial" w:hAnsi="Arial"/>
                <w:b/>
                <w:i w:val="0"/>
                <w:sz w:val="19"/>
              </w:rPr>
              <w:t>R$ 1.316,03/mês</w:t>
            </w:r>
          </w:p>
        </w:tc>
        <w:tc>
          <w:tcPr>
            <w:tcW w:type="dxa" w:w="2268"/>
            <w:shd w:val="clear" w:color="auto" w:fill="EBF7EB"/>
          </w:tcPr>
          <w:p>
            <w:pPr>
              <w:spacing w:before="80" w:after="80"/>
              <w:jc w:val="center"/>
            </w:pPr>
            <w:r>
              <w:rPr>
                <w:rFonts w:ascii="Arial" w:hAnsi="Arial"/>
                <w:b/>
                <w:i w:val="0"/>
                <w:sz w:val="19"/>
              </w:rPr>
              <w:t>R$ 1.342,02/mês</w:t>
            </w:r>
          </w:p>
        </w:tc>
        <w:tc>
          <w:tcPr>
            <w:tcW w:type="dxa" w:w="2268"/>
            <w:shd w:val="clear" w:color="auto" w:fill="C8E6C9"/>
          </w:tcPr>
          <w:p>
            <w:pPr>
              <w:spacing w:before="80" w:after="80"/>
              <w:jc w:val="center"/>
            </w:pPr>
            <w:r>
              <w:rPr>
                <w:rFonts w:ascii="Arial" w:hAnsi="Arial"/>
                <w:b/>
                <w:i w:val="0"/>
                <w:sz w:val="19"/>
              </w:rPr>
              <w:t>R$ 11.948,23/mês</w:t>
            </w:r>
          </w:p>
        </w:tc>
      </w:tr>
      <w:tr>
        <w:tc>
          <w:tcPr>
            <w:tcW w:type="dxa" w:w="2268"/>
            <w:shd w:val="clear" w:color="auto" w:fill="1B5E20"/>
          </w:tcPr>
          <w:p>
            <w:pPr>
              <w:spacing w:before="80" w:after="80"/>
            </w:pPr>
            <w:r>
              <w:rPr>
                <w:rFonts w:ascii="Arial" w:hAnsi="Arial"/>
                <w:b/>
                <w:i w:val="0"/>
                <w:color w:val="FFFFFF"/>
                <w:sz w:val="19"/>
              </w:rPr>
              <w:t>Parcela 200x (mensal, meses 6–205)</w:t>
            </w:r>
          </w:p>
        </w:tc>
        <w:tc>
          <w:tcPr>
            <w:tcW w:type="dxa" w:w="2268"/>
            <w:shd w:val="clear" w:color="auto" w:fill="A5D6A7"/>
          </w:tcPr>
          <w:p>
            <w:pPr>
              <w:spacing w:before="80" w:after="80"/>
              <w:jc w:val="center"/>
            </w:pPr>
            <w:r>
              <w:rPr>
                <w:rFonts w:ascii="Arial" w:hAnsi="Arial"/>
                <w:b/>
                <w:i w:val="0"/>
                <w:sz w:val="19"/>
              </w:rPr>
              <w:t>R$ 506,34/mês</w:t>
            </w:r>
          </w:p>
        </w:tc>
        <w:tc>
          <w:tcPr>
            <w:tcW w:type="dxa" w:w="2268"/>
            <w:shd w:val="clear" w:color="auto" w:fill="A5D6A7"/>
          </w:tcPr>
          <w:p>
            <w:pPr>
              <w:spacing w:before="80" w:after="80"/>
              <w:jc w:val="center"/>
            </w:pPr>
            <w:r>
              <w:rPr>
                <w:rFonts w:ascii="Arial" w:hAnsi="Arial"/>
                <w:b/>
                <w:i w:val="0"/>
                <w:sz w:val="19"/>
              </w:rPr>
              <w:t>R$ 516,34/mês</w:t>
            </w:r>
          </w:p>
        </w:tc>
        <w:tc>
          <w:tcPr>
            <w:tcW w:type="dxa" w:w="2268"/>
            <w:shd w:val="clear" w:color="auto" w:fill="81C784"/>
          </w:tcPr>
          <w:p>
            <w:pPr>
              <w:spacing w:before="80" w:after="80"/>
              <w:jc w:val="center"/>
            </w:pPr>
            <w:r>
              <w:rPr>
                <w:rFonts w:ascii="Arial" w:hAnsi="Arial"/>
                <w:b/>
                <w:i w:val="0"/>
                <w:sz w:val="19"/>
              </w:rPr>
              <w:t>R$ 4.597,06/mês</w:t>
            </w:r>
          </w:p>
        </w:tc>
      </w:tr>
    </w:tbl>
    <w:p>
      <w:pPr>
        <w:spacing w:after="120"/>
      </w:pPr>
    </w:p>
    <w:p>
      <w:pPr>
        <w:spacing w:after="60"/>
        <w:jc w:val="both"/>
      </w:pPr>
      <w:r>
        <w:rPr>
          <w:rFonts w:ascii="Arial" w:hAnsi="Arial"/>
          <w:b/>
          <w:i w:val="0"/>
          <w:color w:val="2E7D32"/>
          <w:sz w:val="21"/>
        </w:rPr>
        <w:t>Cronograma de Desembolso Mensal — QD 93 (9 lotes, plano Sinal 5x + 200x):</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2E7D32"/>
          </w:tcPr>
          <w:p>
            <w:pPr>
              <w:spacing w:before="100" w:after="100"/>
              <w:jc w:val="center"/>
            </w:pPr>
            <w:r>
              <w:rPr>
                <w:rFonts w:ascii="Arial" w:hAnsi="Arial"/>
                <w:b/>
                <w:color w:val="FFFFFF"/>
                <w:sz w:val="18"/>
              </w:rPr>
              <w:t>Período</w:t>
            </w:r>
          </w:p>
        </w:tc>
        <w:tc>
          <w:tcPr>
            <w:tcW w:type="dxa" w:w="1814"/>
            <w:shd w:val="clear" w:color="auto" w:fill="2E7D32"/>
          </w:tcPr>
          <w:p>
            <w:pPr>
              <w:spacing w:before="100" w:after="100"/>
              <w:jc w:val="center"/>
            </w:pPr>
            <w:r>
              <w:rPr>
                <w:rFonts w:ascii="Arial" w:hAnsi="Arial"/>
                <w:b/>
                <w:color w:val="FFFFFF"/>
                <w:sz w:val="18"/>
              </w:rPr>
              <w:t>Componente</w:t>
            </w:r>
          </w:p>
        </w:tc>
        <w:tc>
          <w:tcPr>
            <w:tcW w:type="dxa" w:w="1814"/>
            <w:shd w:val="clear" w:color="auto" w:fill="2E7D32"/>
          </w:tcPr>
          <w:p>
            <w:pPr>
              <w:spacing w:before="100" w:after="100"/>
              <w:jc w:val="center"/>
            </w:pPr>
            <w:r>
              <w:rPr>
                <w:rFonts w:ascii="Arial" w:hAnsi="Arial"/>
                <w:b/>
                <w:color w:val="FFFFFF"/>
                <w:sz w:val="18"/>
              </w:rPr>
              <w:t>Parcela Mensal</w:t>
            </w:r>
          </w:p>
        </w:tc>
        <w:tc>
          <w:tcPr>
            <w:tcW w:type="dxa" w:w="1814"/>
            <w:shd w:val="clear" w:color="auto" w:fill="2E7D32"/>
          </w:tcPr>
          <w:p>
            <w:pPr>
              <w:spacing w:before="100" w:after="100"/>
              <w:jc w:val="center"/>
            </w:pPr>
            <w:r>
              <w:rPr>
                <w:rFonts w:ascii="Arial" w:hAnsi="Arial"/>
                <w:b/>
                <w:color w:val="FFFFFF"/>
                <w:sz w:val="18"/>
              </w:rPr>
              <w:t>Duração</w:t>
            </w:r>
          </w:p>
        </w:tc>
        <w:tc>
          <w:tcPr>
            <w:tcW w:type="dxa" w:w="1814"/>
            <w:shd w:val="clear" w:color="auto" w:fill="2E7D32"/>
          </w:tcPr>
          <w:p>
            <w:pPr>
              <w:spacing w:before="100" w:after="100"/>
              <w:jc w:val="center"/>
            </w:pPr>
            <w:r>
              <w:rPr>
                <w:rFonts w:ascii="Arial" w:hAnsi="Arial"/>
                <w:b/>
                <w:color w:val="FFFFFF"/>
                <w:sz w:val="18"/>
              </w:rPr>
              <w:t>Subtotal</w:t>
            </w:r>
          </w:p>
        </w:tc>
      </w:tr>
      <w:tr>
        <w:tc>
          <w:tcPr>
            <w:tcW w:type="dxa" w:w="1814"/>
            <w:shd w:val="clear" w:color="auto" w:fill="EBF7EB"/>
          </w:tcPr>
          <w:p>
            <w:pPr>
              <w:spacing w:before="80" w:after="80"/>
            </w:pPr>
            <w:r>
              <w:rPr>
                <w:rFonts w:ascii="Arial" w:hAnsi="Arial"/>
                <w:b w:val="0"/>
                <w:i w:val="0"/>
                <w:sz w:val="19"/>
              </w:rPr>
              <w:t>Meses 1 a 5</w:t>
            </w:r>
          </w:p>
        </w:tc>
        <w:tc>
          <w:tcPr>
            <w:tcW w:type="dxa" w:w="1814"/>
            <w:shd w:val="clear" w:color="auto" w:fill="EBF7EB"/>
          </w:tcPr>
          <w:p>
            <w:pPr>
              <w:spacing w:before="80" w:after="80"/>
            </w:pPr>
            <w:r>
              <w:rPr>
                <w:rFonts w:ascii="Arial" w:hAnsi="Arial"/>
                <w:b w:val="0"/>
                <w:i w:val="0"/>
                <w:sz w:val="19"/>
              </w:rPr>
              <w:t>Sinal 5x (entrada parcelada)</w:t>
            </w:r>
          </w:p>
        </w:tc>
        <w:tc>
          <w:tcPr>
            <w:tcW w:type="dxa" w:w="1814"/>
            <w:shd w:val="clear" w:color="auto" w:fill="EBF7EB"/>
          </w:tcPr>
          <w:p>
            <w:pPr>
              <w:spacing w:before="80" w:after="80"/>
              <w:jc w:val="center"/>
            </w:pPr>
            <w:r>
              <w:rPr>
                <w:rFonts w:ascii="Arial" w:hAnsi="Arial"/>
                <w:b w:val="0"/>
                <w:i w:val="0"/>
                <w:sz w:val="19"/>
              </w:rPr>
              <w:t>R$ 11.948,23</w:t>
            </w:r>
          </w:p>
        </w:tc>
        <w:tc>
          <w:tcPr>
            <w:tcW w:type="dxa" w:w="1814"/>
            <w:shd w:val="clear" w:color="auto" w:fill="EBF7EB"/>
          </w:tcPr>
          <w:p>
            <w:pPr>
              <w:spacing w:before="80" w:after="80"/>
              <w:jc w:val="center"/>
            </w:pPr>
            <w:r>
              <w:rPr>
                <w:rFonts w:ascii="Arial" w:hAnsi="Arial"/>
                <w:b w:val="0"/>
                <w:i w:val="0"/>
                <w:sz w:val="19"/>
              </w:rPr>
              <w:t>5 meses</w:t>
            </w:r>
          </w:p>
        </w:tc>
        <w:tc>
          <w:tcPr>
            <w:tcW w:type="dxa" w:w="1814"/>
            <w:shd w:val="clear" w:color="auto" w:fill="EBF7EB"/>
          </w:tcPr>
          <w:p>
            <w:pPr>
              <w:spacing w:before="80" w:after="80"/>
              <w:jc w:val="center"/>
            </w:pPr>
            <w:r>
              <w:rPr>
                <w:rFonts w:ascii="Arial" w:hAnsi="Arial"/>
                <w:b w:val="0"/>
                <w:i w:val="0"/>
                <w:sz w:val="19"/>
              </w:rPr>
              <w:t>R$ 59.741,15</w:t>
            </w:r>
          </w:p>
        </w:tc>
      </w:tr>
      <w:tr>
        <w:tc>
          <w:tcPr>
            <w:tcW w:type="dxa" w:w="1814"/>
            <w:shd w:val="clear" w:color="auto" w:fill="C8E6C9"/>
          </w:tcPr>
          <w:p>
            <w:pPr>
              <w:spacing w:before="80" w:after="80"/>
            </w:pPr>
            <w:r>
              <w:rPr>
                <w:rFonts w:ascii="Arial" w:hAnsi="Arial"/>
                <w:b w:val="0"/>
                <w:i w:val="0"/>
                <w:sz w:val="19"/>
              </w:rPr>
              <w:t>Meses 6 a 205</w:t>
            </w:r>
          </w:p>
        </w:tc>
        <w:tc>
          <w:tcPr>
            <w:tcW w:type="dxa" w:w="1814"/>
            <w:shd w:val="clear" w:color="auto" w:fill="A5D6A7"/>
          </w:tcPr>
          <w:p>
            <w:pPr>
              <w:spacing w:before="80" w:after="80"/>
            </w:pPr>
            <w:r>
              <w:rPr>
                <w:rFonts w:ascii="Arial" w:hAnsi="Arial"/>
                <w:b w:val="0"/>
                <w:i w:val="0"/>
                <w:sz w:val="19"/>
              </w:rPr>
              <w:t>200x (saldo parcelado)</w:t>
            </w:r>
          </w:p>
        </w:tc>
        <w:tc>
          <w:tcPr>
            <w:tcW w:type="dxa" w:w="1814"/>
            <w:shd w:val="clear" w:color="auto" w:fill="A5D6A7"/>
          </w:tcPr>
          <w:p>
            <w:pPr>
              <w:spacing w:before="80" w:after="80"/>
              <w:jc w:val="center"/>
            </w:pPr>
            <w:r>
              <w:rPr>
                <w:rFonts w:ascii="Arial" w:hAnsi="Arial"/>
                <w:b w:val="0"/>
                <w:i w:val="0"/>
                <w:sz w:val="19"/>
              </w:rPr>
              <w:t>R$ 4.597,06</w:t>
            </w:r>
          </w:p>
        </w:tc>
        <w:tc>
          <w:tcPr>
            <w:tcW w:type="dxa" w:w="1814"/>
            <w:shd w:val="clear" w:color="auto" w:fill="A5D6A7"/>
          </w:tcPr>
          <w:p>
            <w:pPr>
              <w:spacing w:before="80" w:after="80"/>
              <w:jc w:val="center"/>
            </w:pPr>
            <w:r>
              <w:rPr>
                <w:rFonts w:ascii="Arial" w:hAnsi="Arial"/>
                <w:b w:val="0"/>
                <w:i w:val="0"/>
                <w:sz w:val="19"/>
              </w:rPr>
              <w:t>200 meses</w:t>
            </w:r>
          </w:p>
        </w:tc>
        <w:tc>
          <w:tcPr>
            <w:tcW w:type="dxa" w:w="1814"/>
            <w:shd w:val="clear" w:color="auto" w:fill="A5D6A7"/>
          </w:tcPr>
          <w:p>
            <w:pPr>
              <w:spacing w:before="80" w:after="80"/>
              <w:jc w:val="center"/>
            </w:pPr>
            <w:r>
              <w:rPr>
                <w:rFonts w:ascii="Arial" w:hAnsi="Arial"/>
                <w:b w:val="0"/>
                <w:i w:val="0"/>
                <w:sz w:val="19"/>
              </w:rPr>
              <w:t>R$ 919.412,00</w:t>
            </w:r>
          </w:p>
        </w:tc>
      </w:tr>
      <w:tr>
        <w:tc>
          <w:tcPr>
            <w:tcW w:type="dxa" w:w="1814"/>
            <w:shd w:val="clear" w:color="auto" w:fill="1B5E20"/>
          </w:tcPr>
          <w:p>
            <w:pPr>
              <w:spacing w:before="80" w:after="80"/>
            </w:pPr>
            <w:r>
              <w:rPr>
                <w:rFonts w:ascii="Arial" w:hAnsi="Arial"/>
                <w:b/>
                <w:i w:val="0"/>
                <w:color w:val="FFFFFF"/>
                <w:sz w:val="19"/>
              </w:rPr>
              <w:t>Total geral</w:t>
            </w:r>
          </w:p>
        </w:tc>
        <w:tc>
          <w:tcPr>
            <w:tcW w:type="dxa" w:w="1814"/>
            <w:shd w:val="clear" w:color="auto" w:fill="81C784"/>
          </w:tcPr>
          <w:p>
            <w:pPr>
              <w:spacing w:before="80" w:after="80"/>
            </w:pPr>
            <w:r>
              <w:rPr>
                <w:rFonts w:ascii="Arial" w:hAnsi="Arial"/>
                <w:b w:val="0"/>
                <w:i w:val="0"/>
                <w:color w:val="FFFFFF"/>
                <w:sz w:val="19"/>
              </w:rPr>
              <w:t>Sinal 5x + 200x</w:t>
            </w:r>
          </w:p>
        </w:tc>
        <w:tc>
          <w:tcPr>
            <w:tcW w:type="dxa" w:w="1814"/>
            <w:shd w:val="clear" w:color="auto" w:fill="81C784"/>
          </w:tcPr>
          <w:p>
            <w:pPr>
              <w:spacing w:before="80" w:after="80"/>
              <w:jc w:val="center"/>
            </w:pPr>
            <w:r>
              <w:rPr>
                <w:rFonts w:ascii="Arial" w:hAnsi="Arial"/>
                <w:b/>
                <w:i w:val="0"/>
                <w:color w:val="FFFFFF"/>
                <w:sz w:val="19"/>
              </w:rPr>
              <w:t>—</w:t>
            </w:r>
          </w:p>
        </w:tc>
        <w:tc>
          <w:tcPr>
            <w:tcW w:type="dxa" w:w="1814"/>
            <w:shd w:val="clear" w:color="auto" w:fill="81C784"/>
          </w:tcPr>
          <w:p>
            <w:pPr>
              <w:spacing w:before="80" w:after="80"/>
              <w:jc w:val="center"/>
            </w:pPr>
            <w:r>
              <w:rPr>
                <w:rFonts w:ascii="Arial" w:hAnsi="Arial"/>
                <w:b w:val="0"/>
                <w:i w:val="0"/>
                <w:color w:val="FFFFFF"/>
                <w:sz w:val="19"/>
              </w:rPr>
              <w:t>205 meses</w:t>
            </w:r>
          </w:p>
        </w:tc>
        <w:tc>
          <w:tcPr>
            <w:tcW w:type="dxa" w:w="1814"/>
            <w:shd w:val="clear" w:color="auto" w:fill="81C784"/>
          </w:tcPr>
          <w:p>
            <w:pPr>
              <w:spacing w:before="80" w:after="80"/>
              <w:jc w:val="center"/>
            </w:pPr>
            <w:r>
              <w:rPr>
                <w:rFonts w:ascii="Arial" w:hAnsi="Arial"/>
                <w:b/>
                <w:i w:val="0"/>
                <w:color w:val="FFFFFF"/>
                <w:sz w:val="19"/>
              </w:rPr>
              <w:t>R$ 979.153,15</w:t>
            </w:r>
          </w:p>
        </w:tc>
      </w:tr>
      <w:tr>
        <w:tc>
          <w:tcPr>
            <w:tcW w:type="dxa" w:w="1814"/>
            <w:shd w:val="clear" w:color="auto" w:fill="FFF8E1"/>
          </w:tcPr>
          <w:p>
            <w:pPr>
              <w:spacing w:before="80" w:after="80"/>
            </w:pPr>
            <w:r>
              <w:rPr>
                <w:rFonts w:ascii="Arial" w:hAnsi="Arial"/>
                <w:b/>
                <w:i w:val="0"/>
                <w:sz w:val="19"/>
              </w:rPr>
              <w:t>Comparação: ValorTerreno bruto</w:t>
            </w:r>
          </w:p>
        </w:tc>
        <w:tc>
          <w:tcPr>
            <w:tcW w:type="dxa" w:w="1814"/>
            <w:shd w:val="clear" w:color="auto" w:fill="FFF3CD"/>
          </w:tcPr>
          <w:p>
            <w:pPr>
              <w:spacing w:before="80" w:after="80"/>
            </w:pPr>
            <w:r>
              <w:rPr>
                <w:rFonts w:ascii="Arial" w:hAnsi="Arial"/>
                <w:b w:val="0"/>
                <w:i w:val="0"/>
                <w:sz w:val="19"/>
              </w:rPr>
              <w:t>—</w:t>
            </w:r>
          </w:p>
        </w:tc>
        <w:tc>
          <w:tcPr>
            <w:tcW w:type="dxa" w:w="1814"/>
            <w:shd w:val="clear" w:color="auto" w:fill="FFF3CD"/>
          </w:tcPr>
          <w:p>
            <w:pPr>
              <w:spacing w:before="80" w:after="80"/>
              <w:jc w:val="center"/>
            </w:pPr>
            <w:r>
              <w:rPr>
                <w:rFonts w:ascii="Arial" w:hAnsi="Arial"/>
                <w:b/>
                <w:i w:val="0"/>
                <w:sz w:val="19"/>
              </w:rPr>
              <w:t>—</w:t>
            </w:r>
          </w:p>
        </w:tc>
        <w:tc>
          <w:tcPr>
            <w:tcW w:type="dxa" w:w="1814"/>
            <w:shd w:val="clear" w:color="auto" w:fill="FFF3CD"/>
          </w:tcPr>
          <w:p>
            <w:pPr>
              <w:spacing w:before="80" w:after="80"/>
              <w:jc w:val="center"/>
            </w:pPr>
            <w:r>
              <w:rPr>
                <w:rFonts w:ascii="Arial" w:hAnsi="Arial"/>
                <w:b w:val="0"/>
                <w:i w:val="0"/>
                <w:sz w:val="19"/>
              </w:rPr>
              <w:t>—</w:t>
            </w:r>
          </w:p>
        </w:tc>
        <w:tc>
          <w:tcPr>
            <w:tcW w:type="dxa" w:w="1814"/>
            <w:shd w:val="clear" w:color="auto" w:fill="FFF3CD"/>
          </w:tcPr>
          <w:p>
            <w:pPr>
              <w:spacing w:before="80" w:after="80"/>
              <w:jc w:val="center"/>
            </w:pPr>
            <w:r>
              <w:rPr>
                <w:rFonts w:ascii="Arial" w:hAnsi="Arial"/>
                <w:b/>
                <w:i w:val="0"/>
                <w:sz w:val="19"/>
              </w:rPr>
              <w:t>R$ 1.194.824,78</w:t>
            </w:r>
          </w:p>
        </w:tc>
      </w:tr>
    </w:tbl>
    <w:p>
      <w:pPr>
        <w:spacing w:after="80"/>
      </w:pPr>
    </w:p>
    <w:p>
      <w:pPr>
        <w:spacing w:after="200"/>
        <w:jc w:val="both"/>
      </w:pPr>
      <w:r>
        <w:rPr>
          <w:rFonts w:ascii="Arial" w:hAnsi="Arial"/>
          <w:b w:val="0"/>
          <w:i/>
          <w:color w:val="555555"/>
          <w:sz w:val="18"/>
        </w:rPr>
        <w:t>* Economia de R$ 215.671,63 em relação ao ValorTerreno bruto (desconto Promo de 18,05%). Pequenas diferenças de centavos em totais devem-se a arredondamentos da tabela original.</w:t>
      </w:r>
    </w:p>
    <w:p>
      <w:pPr>
        <w:spacing w:after="80"/>
        <w:jc w:val="both"/>
      </w:pPr>
      <w:r>
        <w:rPr>
          <w:rFonts w:ascii="Arial" w:hAnsi="Arial"/>
          <w:b/>
          <w:i w:val="0"/>
          <w:color w:val="1F5C9E"/>
          <w:sz w:val="22"/>
        </w:rPr>
        <w:t>6.2  QD 88 — Valores Estimados Proporcionais (6 lotes)</w:t>
      </w:r>
    </w:p>
    <w:p>
      <w:pPr>
        <w:spacing w:after="80"/>
        <w:jc w:val="both"/>
      </w:pPr>
      <w:r>
        <w:rPr>
          <w:rFonts w:ascii="Arial" w:hAnsi="Arial"/>
          <w:b w:val="0"/>
          <w:i w:val="0"/>
          <w:sz w:val="21"/>
        </w:rPr>
        <w:t>A Tabela de Preços Valle/ESalles (02/02/2026) para QD 088 não estava disponível na imagem fornecida (que exibia as páginas de QD 092–094). Os valores abaixo são estimados aplicando os mesmos índices da QD 093 ao ValorTerreno de R$ 340.144,00/lote constante no Relatório de Disponibilidade: desconto Promo de 18,05% e Sinal de 5,00% sobre o ValorTerreno. Estes valores devem ser confirmados na tabela oficial antes de qualquer decisão.</w:t>
      </w:r>
    </w:p>
    <w:p>
      <w:pPr>
        <w:spacing w:after="80"/>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E"/>
          </w:tcPr>
          <w:p>
            <w:pPr>
              <w:spacing w:before="100" w:after="100"/>
              <w:jc w:val="center"/>
            </w:pPr>
            <w:r>
              <w:rPr>
                <w:rFonts w:ascii="Arial" w:hAnsi="Arial"/>
                <w:b/>
                <w:color w:val="FFFFFF"/>
                <w:sz w:val="18"/>
              </w:rPr>
              <w:t>Componente</w:t>
            </w:r>
          </w:p>
        </w:tc>
        <w:tc>
          <w:tcPr>
            <w:tcW w:type="dxa" w:w="3024"/>
            <w:shd w:val="clear" w:color="auto" w:fill="1F5C9E"/>
          </w:tcPr>
          <w:p>
            <w:pPr>
              <w:spacing w:before="100" w:after="100"/>
              <w:jc w:val="center"/>
            </w:pPr>
            <w:r>
              <w:rPr>
                <w:rFonts w:ascii="Arial" w:hAnsi="Arial"/>
                <w:b/>
                <w:color w:val="FFFFFF"/>
                <w:sz w:val="18"/>
              </w:rPr>
              <w:t>Por lote (estimado)</w:t>
            </w:r>
          </w:p>
        </w:tc>
        <w:tc>
          <w:tcPr>
            <w:tcW w:type="dxa" w:w="3024"/>
            <w:shd w:val="clear" w:color="auto" w:fill="1F5C9E"/>
          </w:tcPr>
          <w:p>
            <w:pPr>
              <w:spacing w:before="100" w:after="100"/>
              <w:jc w:val="center"/>
            </w:pPr>
            <w:r>
              <w:rPr>
                <w:rFonts w:ascii="Arial" w:hAnsi="Arial"/>
                <w:b/>
                <w:color w:val="FFFFFF"/>
                <w:sz w:val="18"/>
              </w:rPr>
              <w:t>Total Grupamento — 6 lotes (estimado)</w:t>
            </w:r>
          </w:p>
        </w:tc>
      </w:tr>
      <w:tr>
        <w:tc>
          <w:tcPr>
            <w:tcW w:type="dxa" w:w="3024"/>
            <w:shd w:val="clear" w:color="auto" w:fill="BBDEFB"/>
          </w:tcPr>
          <w:p>
            <w:pPr>
              <w:spacing w:before="80" w:after="80"/>
            </w:pPr>
            <w:r>
              <w:rPr>
                <w:rFonts w:ascii="Arial" w:hAnsi="Arial"/>
                <w:b/>
                <w:i w:val="0"/>
                <w:sz w:val="19"/>
              </w:rPr>
              <w:t>ValorTerreno (tabela)</w:t>
            </w:r>
          </w:p>
        </w:tc>
        <w:tc>
          <w:tcPr>
            <w:tcW w:type="dxa" w:w="3024"/>
            <w:shd w:val="clear" w:color="auto" w:fill="EBF3FB"/>
          </w:tcPr>
          <w:p>
            <w:pPr>
              <w:spacing w:before="80" w:after="80"/>
              <w:jc w:val="center"/>
            </w:pPr>
            <w:r>
              <w:rPr>
                <w:rFonts w:ascii="Arial" w:hAnsi="Arial"/>
                <w:b w:val="0"/>
                <w:i w:val="0"/>
                <w:sz w:val="19"/>
              </w:rPr>
              <w:t>R$ 340.144,00</w:t>
            </w:r>
          </w:p>
        </w:tc>
        <w:tc>
          <w:tcPr>
            <w:tcW w:type="dxa" w:w="3024"/>
            <w:shd w:val="clear" w:color="auto" w:fill="EBF3FB"/>
          </w:tcPr>
          <w:p>
            <w:pPr>
              <w:spacing w:before="80" w:after="80"/>
              <w:jc w:val="center"/>
            </w:pPr>
            <w:r>
              <w:rPr>
                <w:rFonts w:ascii="Arial" w:hAnsi="Arial"/>
                <w:b w:val="0"/>
                <w:i w:val="0"/>
                <w:sz w:val="19"/>
              </w:rPr>
              <w:t>R$ 2.040.864,00</w:t>
            </w:r>
          </w:p>
        </w:tc>
      </w:tr>
      <w:tr>
        <w:tc>
          <w:tcPr>
            <w:tcW w:type="dxa" w:w="3024"/>
            <w:shd w:val="clear" w:color="auto" w:fill="BBDEFB"/>
          </w:tcPr>
          <w:p>
            <w:pPr>
              <w:spacing w:before="80" w:after="80"/>
            </w:pPr>
            <w:r>
              <w:rPr>
                <w:rFonts w:ascii="Arial" w:hAnsi="Arial"/>
                <w:b/>
                <w:i w:val="0"/>
                <w:sz w:val="19"/>
              </w:rPr>
              <w:t>Valor Promocional (−18,05%)</w:t>
            </w:r>
          </w:p>
        </w:tc>
        <w:tc>
          <w:tcPr>
            <w:tcW w:type="dxa" w:w="3024"/>
            <w:shd w:val="clear" w:color="auto" w:fill="FFFFFF"/>
          </w:tcPr>
          <w:p>
            <w:pPr>
              <w:spacing w:before="80" w:after="80"/>
              <w:jc w:val="center"/>
            </w:pPr>
            <w:r>
              <w:rPr>
                <w:rFonts w:ascii="Arial" w:hAnsi="Arial"/>
                <w:b w:val="0"/>
                <w:i w:val="0"/>
                <w:sz w:val="19"/>
              </w:rPr>
              <w:t>R$ 278.748,00</w:t>
            </w:r>
          </w:p>
        </w:tc>
        <w:tc>
          <w:tcPr>
            <w:tcW w:type="dxa" w:w="3024"/>
            <w:shd w:val="clear" w:color="auto" w:fill="FFFFFF"/>
          </w:tcPr>
          <w:p>
            <w:pPr>
              <w:spacing w:before="80" w:after="80"/>
              <w:jc w:val="center"/>
            </w:pPr>
            <w:r>
              <w:rPr>
                <w:rFonts w:ascii="Arial" w:hAnsi="Arial"/>
                <w:b w:val="0"/>
                <w:i w:val="0"/>
                <w:sz w:val="19"/>
              </w:rPr>
              <w:t>R$ 1.672.488,00</w:t>
            </w:r>
          </w:p>
        </w:tc>
      </w:tr>
      <w:tr>
        <w:tc>
          <w:tcPr>
            <w:tcW w:type="dxa" w:w="3024"/>
            <w:shd w:val="clear" w:color="auto" w:fill="BBDEFB"/>
          </w:tcPr>
          <w:p>
            <w:pPr>
              <w:spacing w:before="80" w:after="80"/>
            </w:pPr>
            <w:r>
              <w:rPr>
                <w:rFonts w:ascii="Arial" w:hAnsi="Arial"/>
                <w:b/>
                <w:i w:val="0"/>
                <w:sz w:val="19"/>
              </w:rPr>
              <w:t>Sinal (5% do ValorTerreno)</w:t>
            </w:r>
          </w:p>
        </w:tc>
        <w:tc>
          <w:tcPr>
            <w:tcW w:type="dxa" w:w="3024"/>
            <w:shd w:val="clear" w:color="auto" w:fill="EBF3FB"/>
          </w:tcPr>
          <w:p>
            <w:pPr>
              <w:spacing w:before="80" w:after="80"/>
              <w:jc w:val="center"/>
            </w:pPr>
            <w:r>
              <w:rPr>
                <w:rFonts w:ascii="Arial" w:hAnsi="Arial"/>
                <w:b w:val="0"/>
                <w:i w:val="0"/>
                <w:sz w:val="19"/>
              </w:rPr>
              <w:t>R$ 17.007,20</w:t>
            </w:r>
          </w:p>
        </w:tc>
        <w:tc>
          <w:tcPr>
            <w:tcW w:type="dxa" w:w="3024"/>
            <w:shd w:val="clear" w:color="auto" w:fill="EBF3FB"/>
          </w:tcPr>
          <w:p>
            <w:pPr>
              <w:spacing w:before="80" w:after="80"/>
              <w:jc w:val="center"/>
            </w:pPr>
            <w:r>
              <w:rPr>
                <w:rFonts w:ascii="Arial" w:hAnsi="Arial"/>
                <w:b w:val="0"/>
                <w:i w:val="0"/>
                <w:sz w:val="19"/>
              </w:rPr>
              <w:t>R$ 102.043,20</w:t>
            </w:r>
          </w:p>
        </w:tc>
      </w:tr>
      <w:tr>
        <w:tc>
          <w:tcPr>
            <w:tcW w:type="dxa" w:w="3024"/>
            <w:shd w:val="clear" w:color="auto" w:fill="BBDEFB"/>
          </w:tcPr>
          <w:p>
            <w:pPr>
              <w:spacing w:before="80" w:after="80"/>
            </w:pPr>
            <w:r>
              <w:rPr>
                <w:rFonts w:ascii="Arial" w:hAnsi="Arial"/>
                <w:b/>
                <w:i w:val="0"/>
                <w:sz w:val="19"/>
              </w:rPr>
              <w:t>Saldo (Promo − Sinal)</w:t>
            </w:r>
          </w:p>
        </w:tc>
        <w:tc>
          <w:tcPr>
            <w:tcW w:type="dxa" w:w="3024"/>
            <w:shd w:val="clear" w:color="auto" w:fill="FFFFFF"/>
          </w:tcPr>
          <w:p>
            <w:pPr>
              <w:spacing w:before="80" w:after="80"/>
              <w:jc w:val="center"/>
            </w:pPr>
            <w:r>
              <w:rPr>
                <w:rFonts w:ascii="Arial" w:hAnsi="Arial"/>
                <w:b w:val="0"/>
                <w:i w:val="0"/>
                <w:sz w:val="19"/>
              </w:rPr>
              <w:t>R$ 261.740,80</w:t>
            </w:r>
          </w:p>
        </w:tc>
        <w:tc>
          <w:tcPr>
            <w:tcW w:type="dxa" w:w="3024"/>
            <w:shd w:val="clear" w:color="auto" w:fill="FFFFFF"/>
          </w:tcPr>
          <w:p>
            <w:pPr>
              <w:spacing w:before="80" w:after="80"/>
              <w:jc w:val="center"/>
            </w:pPr>
            <w:r>
              <w:rPr>
                <w:rFonts w:ascii="Arial" w:hAnsi="Arial"/>
                <w:b w:val="0"/>
                <w:i w:val="0"/>
                <w:sz w:val="19"/>
              </w:rPr>
              <w:t>R$ 1.570.444,80</w:t>
            </w:r>
          </w:p>
        </w:tc>
      </w:tr>
      <w:tr>
        <w:tc>
          <w:tcPr>
            <w:tcW w:type="dxa" w:w="3024"/>
            <w:shd w:val="clear" w:color="auto" w:fill="1565C0"/>
          </w:tcPr>
          <w:p>
            <w:pPr>
              <w:spacing w:before="80" w:after="80"/>
            </w:pPr>
            <w:r>
              <w:rPr>
                <w:rFonts w:ascii="Arial" w:hAnsi="Arial"/>
                <w:b/>
                <w:i w:val="0"/>
                <w:color w:val="FFFFFF"/>
                <w:sz w:val="19"/>
              </w:rPr>
              <w:t>Parcela Sinal 5x (mensal)</w:t>
            </w:r>
          </w:p>
        </w:tc>
        <w:tc>
          <w:tcPr>
            <w:tcW w:type="dxa" w:w="3024"/>
            <w:shd w:val="clear" w:color="auto" w:fill="EBF3FB"/>
          </w:tcPr>
          <w:p>
            <w:pPr>
              <w:spacing w:before="80" w:after="80"/>
              <w:jc w:val="center"/>
            </w:pPr>
            <w:r>
              <w:rPr>
                <w:rFonts w:ascii="Arial" w:hAnsi="Arial"/>
                <w:b/>
                <w:i w:val="0"/>
                <w:color w:val="FFFFFF"/>
                <w:sz w:val="19"/>
              </w:rPr>
              <w:t>R$ 3.401,44/mês</w:t>
            </w:r>
          </w:p>
        </w:tc>
        <w:tc>
          <w:tcPr>
            <w:tcW w:type="dxa" w:w="3024"/>
            <w:shd w:val="clear" w:color="auto" w:fill="BBDEFB"/>
          </w:tcPr>
          <w:p>
            <w:pPr>
              <w:spacing w:before="80" w:after="80"/>
              <w:jc w:val="center"/>
            </w:pPr>
            <w:r>
              <w:rPr>
                <w:rFonts w:ascii="Arial" w:hAnsi="Arial"/>
                <w:b/>
                <w:i w:val="0"/>
                <w:color w:val="FFFFFF"/>
                <w:sz w:val="19"/>
              </w:rPr>
              <w:t>R$ 20.408,64/mês</w:t>
            </w:r>
          </w:p>
        </w:tc>
      </w:tr>
      <w:tr>
        <w:tc>
          <w:tcPr>
            <w:tcW w:type="dxa" w:w="3024"/>
            <w:shd w:val="clear" w:color="auto" w:fill="1565C0"/>
          </w:tcPr>
          <w:p>
            <w:pPr>
              <w:spacing w:before="80" w:after="80"/>
            </w:pPr>
            <w:r>
              <w:rPr>
                <w:rFonts w:ascii="Arial" w:hAnsi="Arial"/>
                <w:b/>
                <w:i w:val="0"/>
                <w:color w:val="FFFFFF"/>
                <w:sz w:val="19"/>
              </w:rPr>
              <w:t>Parcela 200x (mensal)</w:t>
            </w:r>
          </w:p>
        </w:tc>
        <w:tc>
          <w:tcPr>
            <w:tcW w:type="dxa" w:w="3024"/>
            <w:shd w:val="clear" w:color="auto" w:fill="FFFFFF"/>
          </w:tcPr>
          <w:p>
            <w:pPr>
              <w:spacing w:before="80" w:after="80"/>
              <w:jc w:val="center"/>
            </w:pPr>
            <w:r>
              <w:rPr>
                <w:rFonts w:ascii="Arial" w:hAnsi="Arial"/>
                <w:b/>
                <w:i w:val="0"/>
                <w:color w:val="FFFFFF"/>
                <w:sz w:val="19"/>
              </w:rPr>
              <w:t>R$ 1.308,70/mês</w:t>
            </w:r>
          </w:p>
        </w:tc>
        <w:tc>
          <w:tcPr>
            <w:tcW w:type="dxa" w:w="3024"/>
            <w:shd w:val="clear" w:color="auto" w:fill="BBDEFB"/>
          </w:tcPr>
          <w:p>
            <w:pPr>
              <w:spacing w:before="80" w:after="80"/>
              <w:jc w:val="center"/>
            </w:pPr>
            <w:r>
              <w:rPr>
                <w:rFonts w:ascii="Arial" w:hAnsi="Arial"/>
                <w:b/>
                <w:i w:val="0"/>
                <w:color w:val="FFFFFF"/>
                <w:sz w:val="19"/>
              </w:rPr>
              <w:t>R$ 7.852,20/mês</w:t>
            </w:r>
          </w:p>
        </w:tc>
      </w:tr>
    </w:tbl>
    <w:p>
      <w:pPr>
        <w:spacing w:after="120"/>
      </w:pPr>
    </w:p>
    <w:p>
      <w:pPr>
        <w:spacing w:after="60"/>
        <w:jc w:val="both"/>
      </w:pPr>
      <w:r>
        <w:rPr>
          <w:rFonts w:ascii="Arial" w:hAnsi="Arial"/>
          <w:b/>
          <w:i w:val="0"/>
          <w:color w:val="1F5C9E"/>
          <w:sz w:val="21"/>
        </w:rPr>
        <w:t>Cronograma de Desembolso Mensal — QD 88 (6 lotes, plano Sinal 5x + 200x — ESTIMADO):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F5C9E"/>
          </w:tcPr>
          <w:p>
            <w:pPr>
              <w:spacing w:before="100" w:after="100"/>
              <w:jc w:val="center"/>
            </w:pPr>
            <w:r>
              <w:rPr>
                <w:rFonts w:ascii="Arial" w:hAnsi="Arial"/>
                <w:b/>
                <w:color w:val="FFFFFF"/>
                <w:sz w:val="18"/>
              </w:rPr>
              <w:t>Período</w:t>
            </w:r>
          </w:p>
        </w:tc>
        <w:tc>
          <w:tcPr>
            <w:tcW w:type="dxa" w:w="1814"/>
            <w:shd w:val="clear" w:color="auto" w:fill="1F5C9E"/>
          </w:tcPr>
          <w:p>
            <w:pPr>
              <w:spacing w:before="100" w:after="100"/>
              <w:jc w:val="center"/>
            </w:pPr>
            <w:r>
              <w:rPr>
                <w:rFonts w:ascii="Arial" w:hAnsi="Arial"/>
                <w:b/>
                <w:color w:val="FFFFFF"/>
                <w:sz w:val="18"/>
              </w:rPr>
              <w:t>Componente</w:t>
            </w:r>
          </w:p>
        </w:tc>
        <w:tc>
          <w:tcPr>
            <w:tcW w:type="dxa" w:w="1814"/>
            <w:shd w:val="clear" w:color="auto" w:fill="1F5C9E"/>
          </w:tcPr>
          <w:p>
            <w:pPr>
              <w:spacing w:before="100" w:after="100"/>
              <w:jc w:val="center"/>
            </w:pPr>
            <w:r>
              <w:rPr>
                <w:rFonts w:ascii="Arial" w:hAnsi="Arial"/>
                <w:b/>
                <w:color w:val="FFFFFF"/>
                <w:sz w:val="18"/>
              </w:rPr>
              <w:t>Parcela Mensal</w:t>
            </w:r>
          </w:p>
        </w:tc>
        <w:tc>
          <w:tcPr>
            <w:tcW w:type="dxa" w:w="1814"/>
            <w:shd w:val="clear" w:color="auto" w:fill="1F5C9E"/>
          </w:tcPr>
          <w:p>
            <w:pPr>
              <w:spacing w:before="100" w:after="100"/>
              <w:jc w:val="center"/>
            </w:pPr>
            <w:r>
              <w:rPr>
                <w:rFonts w:ascii="Arial" w:hAnsi="Arial"/>
                <w:b/>
                <w:color w:val="FFFFFF"/>
                <w:sz w:val="18"/>
              </w:rPr>
              <w:t>Duração</w:t>
            </w:r>
          </w:p>
        </w:tc>
        <w:tc>
          <w:tcPr>
            <w:tcW w:type="dxa" w:w="1814"/>
            <w:shd w:val="clear" w:color="auto" w:fill="1F5C9E"/>
          </w:tcPr>
          <w:p>
            <w:pPr>
              <w:spacing w:before="100" w:after="100"/>
              <w:jc w:val="center"/>
            </w:pPr>
            <w:r>
              <w:rPr>
                <w:rFonts w:ascii="Arial" w:hAnsi="Arial"/>
                <w:b/>
                <w:color w:val="FFFFFF"/>
                <w:sz w:val="18"/>
              </w:rPr>
              <w:t>Subtotal</w:t>
            </w:r>
          </w:p>
        </w:tc>
      </w:tr>
      <w:tr>
        <w:tc>
          <w:tcPr>
            <w:tcW w:type="dxa" w:w="1814"/>
            <w:shd w:val="clear" w:color="auto" w:fill="D6EAFB"/>
          </w:tcPr>
          <w:p>
            <w:pPr>
              <w:spacing w:before="80" w:after="80"/>
            </w:pPr>
            <w:r>
              <w:rPr>
                <w:rFonts w:ascii="Arial" w:hAnsi="Arial"/>
                <w:b w:val="0"/>
                <w:i w:val="0"/>
                <w:sz w:val="19"/>
              </w:rPr>
              <w:t>Meses 1 a 5</w:t>
            </w:r>
          </w:p>
        </w:tc>
        <w:tc>
          <w:tcPr>
            <w:tcW w:type="dxa" w:w="1814"/>
            <w:shd w:val="clear" w:color="auto" w:fill="D6EAFB"/>
          </w:tcPr>
          <w:p>
            <w:pPr>
              <w:spacing w:before="80" w:after="80"/>
            </w:pPr>
            <w:r>
              <w:rPr>
                <w:rFonts w:ascii="Arial" w:hAnsi="Arial"/>
                <w:b w:val="0"/>
                <w:i w:val="0"/>
                <w:sz w:val="19"/>
              </w:rPr>
              <w:t>Sinal 5x (entrada parcelada)</w:t>
            </w:r>
          </w:p>
        </w:tc>
        <w:tc>
          <w:tcPr>
            <w:tcW w:type="dxa" w:w="1814"/>
            <w:shd w:val="clear" w:color="auto" w:fill="D6EAFB"/>
          </w:tcPr>
          <w:p>
            <w:pPr>
              <w:spacing w:before="80" w:after="80"/>
              <w:jc w:val="center"/>
            </w:pPr>
            <w:r>
              <w:rPr>
                <w:rFonts w:ascii="Arial" w:hAnsi="Arial"/>
                <w:b w:val="0"/>
                <w:i w:val="0"/>
                <w:sz w:val="19"/>
              </w:rPr>
              <w:t>R$ 20.408,64</w:t>
            </w:r>
          </w:p>
        </w:tc>
        <w:tc>
          <w:tcPr>
            <w:tcW w:type="dxa" w:w="1814"/>
            <w:shd w:val="clear" w:color="auto" w:fill="D6EAFB"/>
          </w:tcPr>
          <w:p>
            <w:pPr>
              <w:spacing w:before="80" w:after="80"/>
              <w:jc w:val="center"/>
            </w:pPr>
            <w:r>
              <w:rPr>
                <w:rFonts w:ascii="Arial" w:hAnsi="Arial"/>
                <w:b w:val="0"/>
                <w:i w:val="0"/>
                <w:sz w:val="19"/>
              </w:rPr>
              <w:t>5 meses</w:t>
            </w:r>
          </w:p>
        </w:tc>
        <w:tc>
          <w:tcPr>
            <w:tcW w:type="dxa" w:w="1814"/>
            <w:shd w:val="clear" w:color="auto" w:fill="D6EAFB"/>
          </w:tcPr>
          <w:p>
            <w:pPr>
              <w:spacing w:before="80" w:after="80"/>
              <w:jc w:val="center"/>
            </w:pPr>
            <w:r>
              <w:rPr>
                <w:rFonts w:ascii="Arial" w:hAnsi="Arial"/>
                <w:b w:val="0"/>
                <w:i w:val="0"/>
                <w:sz w:val="19"/>
              </w:rPr>
              <w:t>R$ 102.043,20</w:t>
            </w:r>
          </w:p>
        </w:tc>
      </w:tr>
      <w:tr>
        <w:tc>
          <w:tcPr>
            <w:tcW w:type="dxa" w:w="1814"/>
            <w:shd w:val="clear" w:color="auto" w:fill="BBDEFB"/>
          </w:tcPr>
          <w:p>
            <w:pPr>
              <w:spacing w:before="80" w:after="80"/>
            </w:pPr>
            <w:r>
              <w:rPr>
                <w:rFonts w:ascii="Arial" w:hAnsi="Arial"/>
                <w:b w:val="0"/>
                <w:i w:val="0"/>
                <w:sz w:val="19"/>
              </w:rPr>
              <w:t>Meses 6 a 205</w:t>
            </w:r>
          </w:p>
        </w:tc>
        <w:tc>
          <w:tcPr>
            <w:tcW w:type="dxa" w:w="1814"/>
            <w:shd w:val="clear" w:color="auto" w:fill="90CAF9"/>
          </w:tcPr>
          <w:p>
            <w:pPr>
              <w:spacing w:before="80" w:after="80"/>
            </w:pPr>
            <w:r>
              <w:rPr>
                <w:rFonts w:ascii="Arial" w:hAnsi="Arial"/>
                <w:b w:val="0"/>
                <w:i w:val="0"/>
                <w:sz w:val="19"/>
              </w:rPr>
              <w:t>200x (saldo parcelado)</w:t>
            </w:r>
          </w:p>
        </w:tc>
        <w:tc>
          <w:tcPr>
            <w:tcW w:type="dxa" w:w="1814"/>
            <w:shd w:val="clear" w:color="auto" w:fill="90CAF9"/>
          </w:tcPr>
          <w:p>
            <w:pPr>
              <w:spacing w:before="80" w:after="80"/>
              <w:jc w:val="center"/>
            </w:pPr>
            <w:r>
              <w:rPr>
                <w:rFonts w:ascii="Arial" w:hAnsi="Arial"/>
                <w:b w:val="0"/>
                <w:i w:val="0"/>
                <w:sz w:val="19"/>
              </w:rPr>
              <w:t>R$ 7.852,20</w:t>
            </w:r>
          </w:p>
        </w:tc>
        <w:tc>
          <w:tcPr>
            <w:tcW w:type="dxa" w:w="1814"/>
            <w:shd w:val="clear" w:color="auto" w:fill="90CAF9"/>
          </w:tcPr>
          <w:p>
            <w:pPr>
              <w:spacing w:before="80" w:after="80"/>
              <w:jc w:val="center"/>
            </w:pPr>
            <w:r>
              <w:rPr>
                <w:rFonts w:ascii="Arial" w:hAnsi="Arial"/>
                <w:b w:val="0"/>
                <w:i w:val="0"/>
                <w:sz w:val="19"/>
              </w:rPr>
              <w:t>200 meses</w:t>
            </w:r>
          </w:p>
        </w:tc>
        <w:tc>
          <w:tcPr>
            <w:tcW w:type="dxa" w:w="1814"/>
            <w:shd w:val="clear" w:color="auto" w:fill="90CAF9"/>
          </w:tcPr>
          <w:p>
            <w:pPr>
              <w:spacing w:before="80" w:after="80"/>
              <w:jc w:val="center"/>
            </w:pPr>
            <w:r>
              <w:rPr>
                <w:rFonts w:ascii="Arial" w:hAnsi="Arial"/>
                <w:b w:val="0"/>
                <w:i w:val="0"/>
                <w:sz w:val="19"/>
              </w:rPr>
              <w:t>R$ 1.570.440,00</w:t>
            </w:r>
          </w:p>
        </w:tc>
      </w:tr>
      <w:tr>
        <w:tc>
          <w:tcPr>
            <w:tcW w:type="dxa" w:w="1814"/>
            <w:shd w:val="clear" w:color="auto" w:fill="1565C0"/>
          </w:tcPr>
          <w:p>
            <w:pPr>
              <w:spacing w:before="80" w:after="80"/>
            </w:pPr>
            <w:r>
              <w:rPr>
                <w:rFonts w:ascii="Arial" w:hAnsi="Arial"/>
                <w:b/>
                <w:i w:val="0"/>
                <w:color w:val="FFFFFF"/>
                <w:sz w:val="19"/>
              </w:rPr>
              <w:t>Total geral</w:t>
            </w:r>
          </w:p>
        </w:tc>
        <w:tc>
          <w:tcPr>
            <w:tcW w:type="dxa" w:w="1814"/>
            <w:shd w:val="clear" w:color="auto" w:fill="1976D2"/>
          </w:tcPr>
          <w:p>
            <w:pPr>
              <w:spacing w:before="80" w:after="80"/>
            </w:pPr>
            <w:r>
              <w:rPr>
                <w:rFonts w:ascii="Arial" w:hAnsi="Arial"/>
                <w:b w:val="0"/>
                <w:i w:val="0"/>
                <w:color w:val="FFFFFF"/>
                <w:sz w:val="19"/>
              </w:rPr>
              <w:t>Sinal 5x + 200x</w:t>
            </w:r>
          </w:p>
        </w:tc>
        <w:tc>
          <w:tcPr>
            <w:tcW w:type="dxa" w:w="1814"/>
            <w:shd w:val="clear" w:color="auto" w:fill="1976D2"/>
          </w:tcPr>
          <w:p>
            <w:pPr>
              <w:spacing w:before="80" w:after="80"/>
              <w:jc w:val="center"/>
            </w:pPr>
            <w:r>
              <w:rPr>
                <w:rFonts w:ascii="Arial" w:hAnsi="Arial"/>
                <w:b/>
                <w:i w:val="0"/>
                <w:color w:val="FFFFFF"/>
                <w:sz w:val="19"/>
              </w:rPr>
              <w:t>—</w:t>
            </w:r>
          </w:p>
        </w:tc>
        <w:tc>
          <w:tcPr>
            <w:tcW w:type="dxa" w:w="1814"/>
            <w:shd w:val="clear" w:color="auto" w:fill="1976D2"/>
          </w:tcPr>
          <w:p>
            <w:pPr>
              <w:spacing w:before="80" w:after="80"/>
              <w:jc w:val="center"/>
            </w:pPr>
            <w:r>
              <w:rPr>
                <w:rFonts w:ascii="Arial" w:hAnsi="Arial"/>
                <w:b w:val="0"/>
                <w:i w:val="0"/>
                <w:color w:val="FFFFFF"/>
                <w:sz w:val="19"/>
              </w:rPr>
              <w:t>205 meses</w:t>
            </w:r>
          </w:p>
        </w:tc>
        <w:tc>
          <w:tcPr>
            <w:tcW w:type="dxa" w:w="1814"/>
            <w:shd w:val="clear" w:color="auto" w:fill="1976D2"/>
          </w:tcPr>
          <w:p>
            <w:pPr>
              <w:spacing w:before="80" w:after="80"/>
              <w:jc w:val="center"/>
            </w:pPr>
            <w:r>
              <w:rPr>
                <w:rFonts w:ascii="Arial" w:hAnsi="Arial"/>
                <w:b/>
                <w:i w:val="0"/>
                <w:color w:val="FFFFFF"/>
                <w:sz w:val="19"/>
              </w:rPr>
              <w:t>R$ 1.672.483,20</w:t>
            </w:r>
          </w:p>
        </w:tc>
      </w:tr>
      <w:tr>
        <w:tc>
          <w:tcPr>
            <w:tcW w:type="dxa" w:w="1814"/>
            <w:shd w:val="clear" w:color="auto" w:fill="FFF8E1"/>
          </w:tcPr>
          <w:p>
            <w:pPr>
              <w:spacing w:before="80" w:after="80"/>
            </w:pPr>
            <w:r>
              <w:rPr>
                <w:rFonts w:ascii="Arial" w:hAnsi="Arial"/>
                <w:b/>
                <w:i w:val="0"/>
                <w:sz w:val="19"/>
              </w:rPr>
              <w:t>Comparação: ValorTerreno bruto</w:t>
            </w:r>
          </w:p>
        </w:tc>
        <w:tc>
          <w:tcPr>
            <w:tcW w:type="dxa" w:w="1814"/>
            <w:shd w:val="clear" w:color="auto" w:fill="FFF3CD"/>
          </w:tcPr>
          <w:p>
            <w:pPr>
              <w:spacing w:before="80" w:after="80"/>
            </w:pPr>
            <w:r>
              <w:rPr>
                <w:rFonts w:ascii="Arial" w:hAnsi="Arial"/>
                <w:b w:val="0"/>
                <w:i w:val="0"/>
                <w:sz w:val="19"/>
              </w:rPr>
              <w:t>—</w:t>
            </w:r>
          </w:p>
        </w:tc>
        <w:tc>
          <w:tcPr>
            <w:tcW w:type="dxa" w:w="1814"/>
            <w:shd w:val="clear" w:color="auto" w:fill="FFF3CD"/>
          </w:tcPr>
          <w:p>
            <w:pPr>
              <w:spacing w:before="80" w:after="80"/>
              <w:jc w:val="center"/>
            </w:pPr>
            <w:r>
              <w:rPr>
                <w:rFonts w:ascii="Arial" w:hAnsi="Arial"/>
                <w:b/>
                <w:i w:val="0"/>
                <w:sz w:val="19"/>
              </w:rPr>
              <w:t>—</w:t>
            </w:r>
          </w:p>
        </w:tc>
        <w:tc>
          <w:tcPr>
            <w:tcW w:type="dxa" w:w="1814"/>
            <w:shd w:val="clear" w:color="auto" w:fill="FFF3CD"/>
          </w:tcPr>
          <w:p>
            <w:pPr>
              <w:spacing w:before="80" w:after="80"/>
              <w:jc w:val="center"/>
            </w:pPr>
            <w:r>
              <w:rPr>
                <w:rFonts w:ascii="Arial" w:hAnsi="Arial"/>
                <w:b w:val="0"/>
                <w:i w:val="0"/>
                <w:sz w:val="19"/>
              </w:rPr>
              <w:t>—</w:t>
            </w:r>
          </w:p>
        </w:tc>
        <w:tc>
          <w:tcPr>
            <w:tcW w:type="dxa" w:w="1814"/>
            <w:shd w:val="clear" w:color="auto" w:fill="FFF3CD"/>
          </w:tcPr>
          <w:p>
            <w:pPr>
              <w:spacing w:before="80" w:after="80"/>
              <w:jc w:val="center"/>
            </w:pPr>
            <w:r>
              <w:rPr>
                <w:rFonts w:ascii="Arial" w:hAnsi="Arial"/>
                <w:b/>
                <w:i w:val="0"/>
                <w:sz w:val="19"/>
              </w:rPr>
              <w:t>R$ 2.040.864,00</w:t>
            </w:r>
          </w:p>
        </w:tc>
      </w:tr>
    </w:tbl>
    <w:p>
      <w:pPr>
        <w:spacing w:after="80"/>
      </w:pPr>
    </w:p>
    <w:p>
      <w:pPr>
        <w:spacing w:after="200"/>
        <w:jc w:val="both"/>
      </w:pPr>
      <w:r>
        <w:rPr>
          <w:rFonts w:ascii="Arial" w:hAnsi="Arial"/>
          <w:b w:val="0"/>
          <w:i/>
          <w:color w:val="CC6600"/>
          <w:sz w:val="18"/>
        </w:rPr>
        <w:t>* Valores estimados. Confirmar na Tabela de Preços oficial para QD 088 antes de negociação.</w:t>
      </w:r>
    </w:p>
    <w:p>
      <w:pPr>
        <w:spacing w:after="80"/>
        <w:jc w:val="both"/>
      </w:pPr>
      <w:r>
        <w:rPr>
          <w:rFonts w:ascii="Arial" w:hAnsi="Arial"/>
          <w:b/>
          <w:i w:val="0"/>
          <w:color w:val="1F3864"/>
          <w:sz w:val="22"/>
        </w:rPr>
        <w:t>6.3  Comparativo de Fluxo de Caixa — QD 88 vs QD 93</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3864"/>
          </w:tcPr>
          <w:p>
            <w:pPr>
              <w:spacing w:before="100" w:after="100"/>
              <w:jc w:val="center"/>
            </w:pPr>
            <w:r>
              <w:rPr>
                <w:rFonts w:ascii="Arial" w:hAnsi="Arial"/>
                <w:b/>
                <w:color w:val="FFFFFF"/>
                <w:sz w:val="18"/>
              </w:rPr>
              <w:t>Indicador</w:t>
            </w:r>
          </w:p>
        </w:tc>
        <w:tc>
          <w:tcPr>
            <w:tcW w:type="dxa" w:w="2268"/>
            <w:shd w:val="clear" w:color="auto" w:fill="1F3864"/>
          </w:tcPr>
          <w:p>
            <w:pPr>
              <w:spacing w:before="100" w:after="100"/>
              <w:jc w:val="center"/>
            </w:pPr>
            <w:r>
              <w:rPr>
                <w:rFonts w:ascii="Arial" w:hAnsi="Arial"/>
                <w:b/>
                <w:color w:val="FFFFFF"/>
                <w:sz w:val="18"/>
              </w:rPr>
              <w:t>QD 88 (estimado)</w:t>
            </w:r>
          </w:p>
        </w:tc>
        <w:tc>
          <w:tcPr>
            <w:tcW w:type="dxa" w:w="2268"/>
            <w:shd w:val="clear" w:color="auto" w:fill="1F3864"/>
          </w:tcPr>
          <w:p>
            <w:pPr>
              <w:spacing w:before="100" w:after="100"/>
              <w:jc w:val="center"/>
            </w:pPr>
            <w:r>
              <w:rPr>
                <w:rFonts w:ascii="Arial" w:hAnsi="Arial"/>
                <w:b/>
                <w:color w:val="FFFFFF"/>
                <w:sz w:val="18"/>
              </w:rPr>
              <w:t>QD 93 (exato)</w:t>
            </w:r>
          </w:p>
        </w:tc>
        <w:tc>
          <w:tcPr>
            <w:tcW w:type="dxa" w:w="2268"/>
            <w:shd w:val="clear" w:color="auto" w:fill="1F3864"/>
          </w:tcPr>
          <w:p>
            <w:pPr>
              <w:spacing w:before="100" w:after="100"/>
              <w:jc w:val="center"/>
            </w:pPr>
            <w:r>
              <w:rPr>
                <w:rFonts w:ascii="Arial" w:hAnsi="Arial"/>
                <w:b/>
                <w:color w:val="FFFFFF"/>
                <w:sz w:val="18"/>
              </w:rPr>
              <w:t>Diferença (93 − 88)</w:t>
            </w:r>
          </w:p>
        </w:tc>
      </w:tr>
      <w:tr>
        <w:tc>
          <w:tcPr>
            <w:tcW w:type="dxa" w:w="2268"/>
            <w:shd w:val="clear" w:color="auto" w:fill="E8EDF4"/>
          </w:tcPr>
          <w:p>
            <w:pPr>
              <w:spacing w:before="80" w:after="80"/>
            </w:pPr>
            <w:r>
              <w:rPr>
                <w:rFonts w:ascii="Arial" w:hAnsi="Arial"/>
                <w:b/>
                <w:i w:val="0"/>
                <w:sz w:val="19"/>
              </w:rPr>
              <w:t>Valor total parcelado (Promo)</w:t>
            </w:r>
          </w:p>
        </w:tc>
        <w:tc>
          <w:tcPr>
            <w:tcW w:type="dxa" w:w="2268"/>
            <w:shd w:val="clear" w:color="auto" w:fill="EBF3FB"/>
          </w:tcPr>
          <w:p>
            <w:pPr>
              <w:spacing w:before="80" w:after="80"/>
              <w:jc w:val="center"/>
            </w:pPr>
            <w:r>
              <w:rPr>
                <w:rFonts w:ascii="Arial" w:hAnsi="Arial"/>
                <w:b w:val="0"/>
                <w:i w:val="0"/>
                <w:sz w:val="19"/>
              </w:rPr>
              <w:t>R$ 1.672.488</w:t>
            </w:r>
          </w:p>
        </w:tc>
        <w:tc>
          <w:tcPr>
            <w:tcW w:type="dxa" w:w="2268"/>
            <w:shd w:val="clear" w:color="auto" w:fill="EBF7EB"/>
          </w:tcPr>
          <w:p>
            <w:pPr>
              <w:spacing w:before="80" w:after="80"/>
              <w:jc w:val="center"/>
            </w:pPr>
            <w:r>
              <w:rPr>
                <w:rFonts w:ascii="Arial" w:hAnsi="Arial"/>
                <w:b w:val="0"/>
                <w:i w:val="0"/>
                <w:sz w:val="19"/>
              </w:rPr>
              <w:t>R$ 979.159</w:t>
            </w:r>
          </w:p>
        </w:tc>
        <w:tc>
          <w:tcPr>
            <w:tcW w:type="dxa" w:w="2268"/>
            <w:shd w:val="clear" w:color="auto" w:fill="FFF8E1"/>
          </w:tcPr>
          <w:p>
            <w:pPr>
              <w:spacing w:before="80" w:after="80"/>
              <w:jc w:val="center"/>
            </w:pPr>
            <w:r>
              <w:rPr>
                <w:rFonts w:ascii="Arial" w:hAnsi="Arial"/>
                <w:b w:val="0"/>
                <w:i/>
                <w:sz w:val="19"/>
              </w:rPr>
              <w:t>− R$ 693.329 (QD 93 menor)</w:t>
            </w:r>
          </w:p>
        </w:tc>
      </w:tr>
      <w:tr>
        <w:tc>
          <w:tcPr>
            <w:tcW w:type="dxa" w:w="2268"/>
            <w:shd w:val="clear" w:color="auto" w:fill="E8EDF4"/>
          </w:tcPr>
          <w:p>
            <w:pPr>
              <w:spacing w:before="80" w:after="80"/>
            </w:pPr>
            <w:r>
              <w:rPr>
                <w:rFonts w:ascii="Arial" w:hAnsi="Arial"/>
                <w:b/>
                <w:i w:val="0"/>
                <w:sz w:val="19"/>
              </w:rPr>
              <w:t>Desembolso meses 1–5 (Sinal 5x)</w:t>
            </w:r>
          </w:p>
        </w:tc>
        <w:tc>
          <w:tcPr>
            <w:tcW w:type="dxa" w:w="2268"/>
            <w:shd w:val="clear" w:color="auto" w:fill="FFFFFF"/>
          </w:tcPr>
          <w:p>
            <w:pPr>
              <w:spacing w:before="80" w:after="80"/>
              <w:jc w:val="center"/>
            </w:pPr>
            <w:r>
              <w:rPr>
                <w:rFonts w:ascii="Arial" w:hAnsi="Arial"/>
                <w:b w:val="0"/>
                <w:i w:val="0"/>
                <w:sz w:val="19"/>
              </w:rPr>
              <w:t>R$ 102.043</w:t>
            </w:r>
          </w:p>
        </w:tc>
        <w:tc>
          <w:tcPr>
            <w:tcW w:type="dxa" w:w="2268"/>
            <w:shd w:val="clear" w:color="auto" w:fill="FFFFFF"/>
          </w:tcPr>
          <w:p>
            <w:pPr>
              <w:spacing w:before="80" w:after="80"/>
              <w:jc w:val="center"/>
            </w:pPr>
            <w:r>
              <w:rPr>
                <w:rFonts w:ascii="Arial" w:hAnsi="Arial"/>
                <w:b w:val="0"/>
                <w:i w:val="0"/>
                <w:sz w:val="19"/>
              </w:rPr>
              <w:t>R$ 59.741</w:t>
            </w:r>
          </w:p>
        </w:tc>
        <w:tc>
          <w:tcPr>
            <w:tcW w:type="dxa" w:w="2268"/>
            <w:shd w:val="clear" w:color="auto" w:fill="FFFDE7"/>
          </w:tcPr>
          <w:p>
            <w:pPr>
              <w:spacing w:before="80" w:after="80"/>
              <w:jc w:val="center"/>
            </w:pPr>
            <w:r>
              <w:rPr>
                <w:rFonts w:ascii="Arial" w:hAnsi="Arial"/>
                <w:b w:val="0"/>
                <w:i/>
                <w:sz w:val="19"/>
              </w:rPr>
              <w:t>− R$ 42.302 por mês × 5</w:t>
            </w:r>
          </w:p>
        </w:tc>
      </w:tr>
      <w:tr>
        <w:tc>
          <w:tcPr>
            <w:tcW w:type="dxa" w:w="2268"/>
            <w:shd w:val="clear" w:color="auto" w:fill="E8EDF4"/>
          </w:tcPr>
          <w:p>
            <w:pPr>
              <w:spacing w:before="80" w:after="80"/>
            </w:pPr>
            <w:r>
              <w:rPr>
                <w:rFonts w:ascii="Arial" w:hAnsi="Arial"/>
                <w:b/>
                <w:i w:val="0"/>
                <w:sz w:val="19"/>
              </w:rPr>
              <w:t>Parcela mensal meses 1–5</w:t>
            </w:r>
          </w:p>
        </w:tc>
        <w:tc>
          <w:tcPr>
            <w:tcW w:type="dxa" w:w="2268"/>
            <w:shd w:val="clear" w:color="auto" w:fill="EBF3FB"/>
          </w:tcPr>
          <w:p>
            <w:pPr>
              <w:spacing w:before="80" w:after="80"/>
              <w:jc w:val="center"/>
            </w:pPr>
            <w:r>
              <w:rPr>
                <w:rFonts w:ascii="Arial" w:hAnsi="Arial"/>
                <w:b w:val="0"/>
                <w:i w:val="0"/>
                <w:sz w:val="19"/>
              </w:rPr>
              <w:t>R$ 20.408,64/mês</w:t>
            </w:r>
          </w:p>
        </w:tc>
        <w:tc>
          <w:tcPr>
            <w:tcW w:type="dxa" w:w="2268"/>
            <w:shd w:val="clear" w:color="auto" w:fill="EBF7EB"/>
          </w:tcPr>
          <w:p>
            <w:pPr>
              <w:spacing w:before="80" w:after="80"/>
              <w:jc w:val="center"/>
            </w:pPr>
            <w:r>
              <w:rPr>
                <w:rFonts w:ascii="Arial" w:hAnsi="Arial"/>
                <w:b w:val="0"/>
                <w:i w:val="0"/>
                <w:sz w:val="19"/>
              </w:rPr>
              <w:t>R$ 11.948,23/mês</w:t>
            </w:r>
          </w:p>
        </w:tc>
        <w:tc>
          <w:tcPr>
            <w:tcW w:type="dxa" w:w="2268"/>
            <w:shd w:val="clear" w:color="auto" w:fill="FFF8E1"/>
          </w:tcPr>
          <w:p>
            <w:pPr>
              <w:spacing w:before="80" w:after="80"/>
              <w:jc w:val="center"/>
            </w:pPr>
            <w:r>
              <w:rPr>
                <w:rFonts w:ascii="Arial" w:hAnsi="Arial"/>
                <w:b w:val="0"/>
                <w:i/>
                <w:sz w:val="19"/>
              </w:rPr>
              <w:t>− R$ 8.460,41/mês</w:t>
            </w:r>
          </w:p>
        </w:tc>
      </w:tr>
      <w:tr>
        <w:tc>
          <w:tcPr>
            <w:tcW w:type="dxa" w:w="2268"/>
            <w:shd w:val="clear" w:color="auto" w:fill="E8EDF4"/>
          </w:tcPr>
          <w:p>
            <w:pPr>
              <w:spacing w:before="80" w:after="80"/>
            </w:pPr>
            <w:r>
              <w:rPr>
                <w:rFonts w:ascii="Arial" w:hAnsi="Arial"/>
                <w:b/>
                <w:i w:val="0"/>
                <w:sz w:val="19"/>
              </w:rPr>
              <w:t>Parcela mensal meses 6–205 (200x)</w:t>
            </w:r>
          </w:p>
        </w:tc>
        <w:tc>
          <w:tcPr>
            <w:tcW w:type="dxa" w:w="2268"/>
            <w:shd w:val="clear" w:color="auto" w:fill="FFFFFF"/>
          </w:tcPr>
          <w:p>
            <w:pPr>
              <w:spacing w:before="80" w:after="80"/>
              <w:jc w:val="center"/>
            </w:pPr>
            <w:r>
              <w:rPr>
                <w:rFonts w:ascii="Arial" w:hAnsi="Arial"/>
                <w:b w:val="0"/>
                <w:i w:val="0"/>
                <w:sz w:val="19"/>
              </w:rPr>
              <w:t>R$ 7.852,20/mês</w:t>
            </w:r>
          </w:p>
        </w:tc>
        <w:tc>
          <w:tcPr>
            <w:tcW w:type="dxa" w:w="2268"/>
            <w:shd w:val="clear" w:color="auto" w:fill="FFFFFF"/>
          </w:tcPr>
          <w:p>
            <w:pPr>
              <w:spacing w:before="80" w:after="80"/>
              <w:jc w:val="center"/>
            </w:pPr>
            <w:r>
              <w:rPr>
                <w:rFonts w:ascii="Arial" w:hAnsi="Arial"/>
                <w:b w:val="0"/>
                <w:i w:val="0"/>
                <w:sz w:val="19"/>
              </w:rPr>
              <w:t>R$ 4.597,06/mês</w:t>
            </w:r>
          </w:p>
        </w:tc>
        <w:tc>
          <w:tcPr>
            <w:tcW w:type="dxa" w:w="2268"/>
            <w:shd w:val="clear" w:color="auto" w:fill="FFFDE7"/>
          </w:tcPr>
          <w:p>
            <w:pPr>
              <w:spacing w:before="80" w:after="80"/>
              <w:jc w:val="center"/>
            </w:pPr>
            <w:r>
              <w:rPr>
                <w:rFonts w:ascii="Arial" w:hAnsi="Arial"/>
                <w:b w:val="0"/>
                <w:i/>
                <w:sz w:val="19"/>
              </w:rPr>
              <w:t>− R$ 3.255,14/mês</w:t>
            </w:r>
          </w:p>
        </w:tc>
      </w:tr>
      <w:tr>
        <w:tc>
          <w:tcPr>
            <w:tcW w:type="dxa" w:w="2268"/>
            <w:shd w:val="clear" w:color="auto" w:fill="E8EDF4"/>
          </w:tcPr>
          <w:p>
            <w:pPr>
              <w:spacing w:before="80" w:after="80"/>
            </w:pPr>
            <w:r>
              <w:rPr>
                <w:rFonts w:ascii="Arial" w:hAnsi="Arial"/>
                <w:b/>
                <w:i w:val="0"/>
                <w:sz w:val="19"/>
              </w:rPr>
              <w:t>Total de parcelas</w:t>
            </w:r>
          </w:p>
        </w:tc>
        <w:tc>
          <w:tcPr>
            <w:tcW w:type="dxa" w:w="2268"/>
            <w:shd w:val="clear" w:color="auto" w:fill="EBF3FB"/>
          </w:tcPr>
          <w:p>
            <w:pPr>
              <w:spacing w:before="80" w:after="80"/>
              <w:jc w:val="center"/>
            </w:pPr>
            <w:r>
              <w:rPr>
                <w:rFonts w:ascii="Arial" w:hAnsi="Arial"/>
                <w:b w:val="0"/>
                <w:i w:val="0"/>
                <w:sz w:val="19"/>
              </w:rPr>
              <w:t>205 meses</w:t>
            </w:r>
          </w:p>
        </w:tc>
        <w:tc>
          <w:tcPr>
            <w:tcW w:type="dxa" w:w="2268"/>
            <w:shd w:val="clear" w:color="auto" w:fill="EBF7EB"/>
          </w:tcPr>
          <w:p>
            <w:pPr>
              <w:spacing w:before="80" w:after="80"/>
              <w:jc w:val="center"/>
            </w:pPr>
            <w:r>
              <w:rPr>
                <w:rFonts w:ascii="Arial" w:hAnsi="Arial"/>
                <w:b w:val="0"/>
                <w:i w:val="0"/>
                <w:sz w:val="19"/>
              </w:rPr>
              <w:t>205 meses</w:t>
            </w:r>
          </w:p>
        </w:tc>
        <w:tc>
          <w:tcPr>
            <w:tcW w:type="dxa" w:w="2268"/>
            <w:shd w:val="clear" w:color="auto" w:fill="FFF8E1"/>
          </w:tcPr>
          <w:p>
            <w:pPr>
              <w:spacing w:before="80" w:after="80"/>
              <w:jc w:val="center"/>
            </w:pPr>
            <w:r>
              <w:rPr>
                <w:rFonts w:ascii="Arial" w:hAnsi="Arial"/>
                <w:b w:val="0"/>
                <w:i/>
                <w:sz w:val="19"/>
              </w:rPr>
              <w:t>Igual</w:t>
            </w:r>
          </w:p>
        </w:tc>
      </w:tr>
      <w:tr>
        <w:tc>
          <w:tcPr>
            <w:tcW w:type="dxa" w:w="2268"/>
            <w:shd w:val="clear" w:color="auto" w:fill="E8EDF4"/>
          </w:tcPr>
          <w:p>
            <w:pPr>
              <w:spacing w:before="80" w:after="80"/>
            </w:pPr>
            <w:r>
              <w:rPr>
                <w:rFonts w:ascii="Arial" w:hAnsi="Arial"/>
                <w:b/>
                <w:i w:val="0"/>
                <w:sz w:val="19"/>
              </w:rPr>
              <w:t>Custo de aquisição / m²</w:t>
            </w:r>
          </w:p>
        </w:tc>
        <w:tc>
          <w:tcPr>
            <w:tcW w:type="dxa" w:w="2268"/>
            <w:shd w:val="clear" w:color="auto" w:fill="FFFFFF"/>
          </w:tcPr>
          <w:p>
            <w:pPr>
              <w:spacing w:before="80" w:after="80"/>
              <w:jc w:val="center"/>
            </w:pPr>
            <w:r>
              <w:rPr>
                <w:rFonts w:ascii="Arial" w:hAnsi="Arial"/>
                <w:b w:val="0"/>
                <w:i w:val="0"/>
                <w:sz w:val="19"/>
              </w:rPr>
              <w:t>R$ 971/m² (tabela)</w:t>
            </w:r>
          </w:p>
        </w:tc>
        <w:tc>
          <w:tcPr>
            <w:tcW w:type="dxa" w:w="2268"/>
            <w:shd w:val="clear" w:color="auto" w:fill="FFFFFF"/>
          </w:tcPr>
          <w:p>
            <w:pPr>
              <w:spacing w:before="80" w:after="80"/>
              <w:jc w:val="center"/>
            </w:pPr>
            <w:r>
              <w:rPr>
                <w:rFonts w:ascii="Arial" w:hAnsi="Arial"/>
                <w:b w:val="0"/>
                <w:i w:val="0"/>
                <w:sz w:val="19"/>
              </w:rPr>
              <w:t>R$ 519/m² (tabela)</w:t>
            </w:r>
          </w:p>
        </w:tc>
        <w:tc>
          <w:tcPr>
            <w:tcW w:type="dxa" w:w="2268"/>
            <w:shd w:val="clear" w:color="auto" w:fill="FFFDE7"/>
          </w:tcPr>
          <w:p>
            <w:pPr>
              <w:spacing w:before="80" w:after="80"/>
              <w:jc w:val="center"/>
            </w:pPr>
            <w:r>
              <w:rPr>
                <w:rFonts w:ascii="Arial" w:hAnsi="Arial"/>
                <w:b w:val="0"/>
                <w:i/>
                <w:sz w:val="19"/>
              </w:rPr>
              <w:t>− R$ 452/m² (QD 93 mais barato)</w:t>
            </w:r>
          </w:p>
        </w:tc>
      </w:tr>
    </w:tbl>
    <w:p>
      <w:pPr>
        <w:spacing w:after="80"/>
      </w:pPr>
    </w:p>
    <w:tbl>
      <w:tblPr>
        <w:tblW w:type="auto" w:w="0"/>
        <w:jc w:val="center"/>
        <w:tblLook w:firstColumn="1" w:firstRow="1" w:lastColumn="0" w:lastRow="0" w:noHBand="0" w:noVBand="1" w:val="04A0"/>
      </w:tblPr>
      <w:tblGrid>
        <w:gridCol w:w="9072"/>
      </w:tblGrid>
      <w:tr>
        <w:tc>
          <w:tcPr>
            <w:tcW w:type="dxa" w:w="9072"/>
            <w:shd w:val="clear" w:color="auto" w:fill="EFF8FF"/>
          </w:tcPr>
          <w:p>
            <w:pPr>
              <w:spacing w:before="160" w:after="160"/>
              <w:jc w:val="both"/>
            </w:pPr>
            <w:r>
              <w:rPr>
                <w:rFonts w:ascii="Arial" w:hAnsi="Arial"/>
                <w:b/>
                <w:color w:val="1F3864"/>
                <w:sz w:val="20"/>
              </w:rPr>
              <w:t xml:space="preserve">Insight Estratégico de Fluxo: </w:t>
            </w:r>
            <w:r>
              <w:rPr>
                <w:rFonts w:ascii="Arial" w:hAnsi="Arial"/>
                <w:sz w:val="20"/>
              </w:rPr>
              <w:t>A QD 93 representa um desembolso mensal 42% menor do que a QD 88 ao longo dos 205 meses do plano. Nos primeiros 5 meses críticos de estruturação da incorporadora, a diferença é de R$ 8.460/mês (R$ 42.302 acumulados) — capital que pode ser direcionado para projetos, aprovações e constituição da SPE. Para uma incorporadora em fase inicial, a QD 93 preserva liquidez e reduz exposição financeira no período pré-lançamento, que é o de maior risco operacional.</w:t>
            </w:r>
          </w:p>
        </w:tc>
      </w:tr>
    </w:tbl>
    <w:p>
      <w:pPr>
        <w:spacing w:after="200"/>
      </w:pPr>
    </w:p>
    <w:p>
      <w:pPr>
        <w:pBdr>
          <w:bottom w:val="single" w:sz="6" w:space="1" w:color="2E75B6"/>
        </w:pBdr>
        <w:spacing w:before="280" w:after="120"/>
      </w:pPr>
      <w:r>
        <w:rPr>
          <w:rFonts w:ascii="Arial" w:hAnsi="Arial"/>
          <w:b/>
          <w:color w:val="1F3864"/>
          <w:sz w:val="26"/>
        </w:rPr>
        <w:t>7. Indicadores de Viabilidade Econômica Preliminar</w:t>
      </w:r>
    </w:p>
    <w:p>
      <w:pPr>
        <w:spacing w:after="80"/>
        <w:jc w:val="both"/>
      </w:pPr>
      <w:r>
        <w:rPr>
          <w:rFonts w:ascii="Arial" w:hAnsi="Arial"/>
          <w:b w:val="0"/>
          <w:i w:val="0"/>
          <w:sz w:val="21"/>
        </w:rPr>
        <w:t>Projeção simplificada para estudo inicial. Valores sujeitos a refinamento com levantamento de custos de obra, aprovações e pesquisa de mercado em Castanhal/PA. O custo de terreno considerado é o valor promocional (Promo), conforme plano parcelado.</w:t>
      </w:r>
    </w:p>
    <w:p>
      <w:pPr>
        <w:spacing w:after="120"/>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864"/>
          </w:tcPr>
          <w:p>
            <w:pPr>
              <w:spacing w:before="100" w:after="100"/>
              <w:jc w:val="center"/>
            </w:pPr>
            <w:r>
              <w:rPr>
                <w:rFonts w:ascii="Arial" w:hAnsi="Arial"/>
                <w:b/>
                <w:color w:val="FFFFFF"/>
                <w:sz w:val="18"/>
              </w:rPr>
              <w:t>Indicador</w:t>
            </w:r>
          </w:p>
        </w:tc>
        <w:tc>
          <w:tcPr>
            <w:tcW w:type="dxa" w:w="3024"/>
            <w:shd w:val="clear" w:color="auto" w:fill="1F3864"/>
          </w:tcPr>
          <w:p>
            <w:pPr>
              <w:spacing w:before="100" w:after="100"/>
              <w:jc w:val="center"/>
            </w:pPr>
            <w:r>
              <w:rPr>
                <w:rFonts w:ascii="Arial" w:hAnsi="Arial"/>
                <w:b/>
                <w:color w:val="FFFFFF"/>
                <w:sz w:val="18"/>
              </w:rPr>
              <w:t>QD 88 — Av. José Salles</w:t>
            </w:r>
          </w:p>
        </w:tc>
        <w:tc>
          <w:tcPr>
            <w:tcW w:type="dxa" w:w="3024"/>
            <w:shd w:val="clear" w:color="auto" w:fill="1F3864"/>
          </w:tcPr>
          <w:p>
            <w:pPr>
              <w:spacing w:before="100" w:after="100"/>
              <w:jc w:val="center"/>
            </w:pPr>
            <w:r>
              <w:rPr>
                <w:rFonts w:ascii="Arial" w:hAnsi="Arial"/>
                <w:b/>
                <w:color w:val="FFFFFF"/>
                <w:sz w:val="18"/>
              </w:rPr>
              <w:t>QD 93 — Back-to-Back</w:t>
            </w:r>
          </w:p>
        </w:tc>
      </w:tr>
      <w:tr>
        <w:tc>
          <w:tcPr>
            <w:tcW w:type="dxa" w:w="3024"/>
            <w:shd w:val="clear" w:color="auto" w:fill="E2EEF9"/>
          </w:tcPr>
          <w:p>
            <w:pPr>
              <w:spacing w:before="80" w:after="80"/>
            </w:pPr>
            <w:r>
              <w:rPr>
                <w:rFonts w:ascii="Arial" w:hAnsi="Arial"/>
                <w:b/>
                <w:i w:val="0"/>
                <w:sz w:val="19"/>
              </w:rPr>
              <w:t>Custo aquisição terreno (Promo)</w:t>
            </w:r>
          </w:p>
        </w:tc>
        <w:tc>
          <w:tcPr>
            <w:tcW w:type="dxa" w:w="3024"/>
            <w:shd w:val="clear" w:color="auto" w:fill="F2F7FD"/>
          </w:tcPr>
          <w:p>
            <w:pPr>
              <w:spacing w:before="80" w:after="80"/>
              <w:jc w:val="center"/>
            </w:pPr>
            <w:r>
              <w:rPr>
                <w:rFonts w:ascii="Arial" w:hAnsi="Arial"/>
                <w:b w:val="0"/>
                <w:i w:val="0"/>
                <w:sz w:val="19"/>
              </w:rPr>
              <w:t>R$ 1.672.488 (est.)</w:t>
            </w:r>
          </w:p>
        </w:tc>
        <w:tc>
          <w:tcPr>
            <w:tcW w:type="dxa" w:w="3024"/>
            <w:shd w:val="clear" w:color="auto" w:fill="F0F7F0"/>
          </w:tcPr>
          <w:p>
            <w:pPr>
              <w:spacing w:before="80" w:after="80"/>
              <w:jc w:val="center"/>
            </w:pPr>
            <w:r>
              <w:rPr>
                <w:rFonts w:ascii="Arial" w:hAnsi="Arial"/>
                <w:b w:val="0"/>
                <w:i w:val="0"/>
                <w:sz w:val="19"/>
              </w:rPr>
              <w:t>R$ 979.159</w:t>
            </w:r>
          </w:p>
        </w:tc>
      </w:tr>
      <w:tr>
        <w:tc>
          <w:tcPr>
            <w:tcW w:type="dxa" w:w="3024"/>
            <w:shd w:val="clear" w:color="auto" w:fill="E2EEF9"/>
          </w:tcPr>
          <w:p>
            <w:pPr>
              <w:spacing w:before="80" w:after="80"/>
            </w:pPr>
            <w:r>
              <w:rPr>
                <w:rFonts w:ascii="Arial" w:hAnsi="Arial"/>
                <w:b/>
                <w:i w:val="0"/>
                <w:sz w:val="19"/>
              </w:rPr>
              <w:t>Área construída estimada (CA 2,5)</w:t>
            </w:r>
          </w:p>
        </w:tc>
        <w:tc>
          <w:tcPr>
            <w:tcW w:type="dxa" w:w="3024"/>
            <w:shd w:val="clear" w:color="auto" w:fill="FFFFFF"/>
          </w:tcPr>
          <w:p>
            <w:pPr>
              <w:spacing w:before="80" w:after="80"/>
              <w:jc w:val="center"/>
            </w:pPr>
            <w:r>
              <w:rPr>
                <w:rFonts w:ascii="Arial" w:hAnsi="Arial"/>
                <w:b w:val="0"/>
                <w:i w:val="0"/>
                <w:sz w:val="19"/>
              </w:rPr>
              <w:t>~5.250 m²</w:t>
            </w:r>
          </w:p>
        </w:tc>
        <w:tc>
          <w:tcPr>
            <w:tcW w:type="dxa" w:w="3024"/>
            <w:shd w:val="clear" w:color="auto" w:fill="FFFFFF"/>
          </w:tcPr>
          <w:p>
            <w:pPr>
              <w:spacing w:before="80" w:after="80"/>
              <w:jc w:val="center"/>
            </w:pPr>
            <w:r>
              <w:rPr>
                <w:rFonts w:ascii="Arial" w:hAnsi="Arial"/>
                <w:b w:val="0"/>
                <w:i w:val="0"/>
                <w:sz w:val="19"/>
              </w:rPr>
              <w:t>~5.750 m²</w:t>
            </w:r>
          </w:p>
        </w:tc>
      </w:tr>
      <w:tr>
        <w:tc>
          <w:tcPr>
            <w:tcW w:type="dxa" w:w="3024"/>
            <w:shd w:val="clear" w:color="auto" w:fill="E2EEF9"/>
          </w:tcPr>
          <w:p>
            <w:pPr>
              <w:spacing w:before="80" w:after="80"/>
            </w:pPr>
            <w:r>
              <w:rPr>
                <w:rFonts w:ascii="Arial" w:hAnsi="Arial"/>
                <w:b/>
                <w:i w:val="0"/>
                <w:sz w:val="19"/>
              </w:rPr>
              <w:t>Custo obra estimado (R$ 2.200/m²)</w:t>
            </w:r>
          </w:p>
        </w:tc>
        <w:tc>
          <w:tcPr>
            <w:tcW w:type="dxa" w:w="3024"/>
            <w:shd w:val="clear" w:color="auto" w:fill="F2F7FD"/>
          </w:tcPr>
          <w:p>
            <w:pPr>
              <w:spacing w:before="80" w:after="80"/>
              <w:jc w:val="center"/>
            </w:pPr>
            <w:r>
              <w:rPr>
                <w:rFonts w:ascii="Arial" w:hAnsi="Arial"/>
                <w:b w:val="0"/>
                <w:i w:val="0"/>
                <w:sz w:val="19"/>
              </w:rPr>
              <w:t>~R$ 11,6 M</w:t>
            </w:r>
          </w:p>
        </w:tc>
        <w:tc>
          <w:tcPr>
            <w:tcW w:type="dxa" w:w="3024"/>
            <w:shd w:val="clear" w:color="auto" w:fill="F0F7F0"/>
          </w:tcPr>
          <w:p>
            <w:pPr>
              <w:spacing w:before="80" w:after="80"/>
              <w:jc w:val="center"/>
            </w:pPr>
            <w:r>
              <w:rPr>
                <w:rFonts w:ascii="Arial" w:hAnsi="Arial"/>
                <w:b w:val="0"/>
                <w:i w:val="0"/>
                <w:sz w:val="19"/>
              </w:rPr>
              <w:t>~R$ 12,6 M</w:t>
            </w:r>
          </w:p>
        </w:tc>
      </w:tr>
      <w:tr>
        <w:tc>
          <w:tcPr>
            <w:tcW w:type="dxa" w:w="3024"/>
            <w:shd w:val="clear" w:color="auto" w:fill="E2EEF9"/>
          </w:tcPr>
          <w:p>
            <w:pPr>
              <w:spacing w:before="80" w:after="80"/>
            </w:pPr>
            <w:r>
              <w:rPr>
                <w:rFonts w:ascii="Arial" w:hAnsi="Arial"/>
                <w:b/>
                <w:i w:val="0"/>
                <w:sz w:val="19"/>
              </w:rPr>
              <w:t>VGV estimado — R$ 5.500/m² vendável</w:t>
            </w:r>
          </w:p>
        </w:tc>
        <w:tc>
          <w:tcPr>
            <w:tcW w:type="dxa" w:w="3024"/>
            <w:shd w:val="clear" w:color="auto" w:fill="FFFFFF"/>
          </w:tcPr>
          <w:p>
            <w:pPr>
              <w:spacing w:before="80" w:after="80"/>
              <w:jc w:val="center"/>
            </w:pPr>
            <w:r>
              <w:rPr>
                <w:rFonts w:ascii="Arial" w:hAnsi="Arial"/>
                <w:b w:val="0"/>
                <w:i w:val="0"/>
                <w:sz w:val="19"/>
              </w:rPr>
              <w:t>~R$ 22,0 M</w:t>
            </w:r>
          </w:p>
        </w:tc>
        <w:tc>
          <w:tcPr>
            <w:tcW w:type="dxa" w:w="3024"/>
            <w:shd w:val="clear" w:color="auto" w:fill="FFFFFF"/>
          </w:tcPr>
          <w:p>
            <w:pPr>
              <w:spacing w:before="80" w:after="80"/>
              <w:jc w:val="center"/>
            </w:pPr>
            <w:r>
              <w:rPr>
                <w:rFonts w:ascii="Arial" w:hAnsi="Arial"/>
                <w:b w:val="0"/>
                <w:i w:val="0"/>
                <w:sz w:val="19"/>
              </w:rPr>
              <w:t>~R$ 24,0 M</w:t>
            </w:r>
          </w:p>
        </w:tc>
      </w:tr>
      <w:tr>
        <w:tc>
          <w:tcPr>
            <w:tcW w:type="dxa" w:w="3024"/>
            <w:shd w:val="clear" w:color="auto" w:fill="E2EEF9"/>
          </w:tcPr>
          <w:p>
            <w:pPr>
              <w:spacing w:before="80" w:after="80"/>
            </w:pPr>
            <w:r>
              <w:rPr>
                <w:rFonts w:ascii="Arial" w:hAnsi="Arial"/>
                <w:b/>
                <w:i w:val="0"/>
                <w:sz w:val="19"/>
              </w:rPr>
              <w:t>Margem bruta estimada</w:t>
            </w:r>
          </w:p>
        </w:tc>
        <w:tc>
          <w:tcPr>
            <w:tcW w:type="dxa" w:w="3024"/>
            <w:shd w:val="clear" w:color="auto" w:fill="F2F7FD"/>
          </w:tcPr>
          <w:p>
            <w:pPr>
              <w:spacing w:before="80" w:after="80"/>
              <w:jc w:val="center"/>
            </w:pPr>
            <w:r>
              <w:rPr>
                <w:rFonts w:ascii="Arial" w:hAnsi="Arial"/>
                <w:b w:val="0"/>
                <w:i w:val="0"/>
                <w:sz w:val="19"/>
              </w:rPr>
              <w:t>~R$ 8,7 M (40% VGV)</w:t>
            </w:r>
          </w:p>
        </w:tc>
        <w:tc>
          <w:tcPr>
            <w:tcW w:type="dxa" w:w="3024"/>
            <w:shd w:val="clear" w:color="auto" w:fill="F0F7F0"/>
          </w:tcPr>
          <w:p>
            <w:pPr>
              <w:spacing w:before="80" w:after="80"/>
              <w:jc w:val="center"/>
            </w:pPr>
            <w:r>
              <w:rPr>
                <w:rFonts w:ascii="Arial" w:hAnsi="Arial"/>
                <w:b w:val="0"/>
                <w:i w:val="0"/>
                <w:sz w:val="19"/>
              </w:rPr>
              <w:t>~R$ 10,4 M (43% VGV)</w:t>
            </w:r>
          </w:p>
        </w:tc>
      </w:tr>
      <w:tr>
        <w:tc>
          <w:tcPr>
            <w:tcW w:type="dxa" w:w="3024"/>
            <w:shd w:val="clear" w:color="auto" w:fill="E2EEF9"/>
          </w:tcPr>
          <w:p>
            <w:pPr>
              <w:spacing w:before="80" w:after="80"/>
            </w:pPr>
            <w:r>
              <w:rPr>
                <w:rFonts w:ascii="Arial" w:hAnsi="Arial"/>
                <w:b/>
                <w:i w:val="0"/>
                <w:sz w:val="19"/>
              </w:rPr>
              <w:t>Custo total / m² construído</w:t>
            </w:r>
          </w:p>
        </w:tc>
        <w:tc>
          <w:tcPr>
            <w:tcW w:type="dxa" w:w="3024"/>
            <w:shd w:val="clear" w:color="auto" w:fill="FFFFFF"/>
          </w:tcPr>
          <w:p>
            <w:pPr>
              <w:spacing w:before="80" w:after="80"/>
              <w:jc w:val="center"/>
            </w:pPr>
            <w:r>
              <w:rPr>
                <w:rFonts w:ascii="Arial" w:hAnsi="Arial"/>
                <w:b w:val="0"/>
                <w:i w:val="0"/>
                <w:sz w:val="19"/>
              </w:rPr>
              <w:t>~R$ 2.529/m²</w:t>
            </w:r>
          </w:p>
        </w:tc>
        <w:tc>
          <w:tcPr>
            <w:tcW w:type="dxa" w:w="3024"/>
            <w:shd w:val="clear" w:color="auto" w:fill="FFFFFF"/>
          </w:tcPr>
          <w:p>
            <w:pPr>
              <w:spacing w:before="80" w:after="80"/>
              <w:jc w:val="center"/>
            </w:pPr>
            <w:r>
              <w:rPr>
                <w:rFonts w:ascii="Arial" w:hAnsi="Arial"/>
                <w:b w:val="0"/>
                <w:i w:val="0"/>
                <w:sz w:val="19"/>
              </w:rPr>
              <w:t>~R$ 2.361/m²</w:t>
            </w:r>
          </w:p>
        </w:tc>
      </w:tr>
      <w:tr>
        <w:tc>
          <w:tcPr>
            <w:tcW w:type="dxa" w:w="3024"/>
            <w:shd w:val="clear" w:color="auto" w:fill="E2EEF9"/>
          </w:tcPr>
          <w:p>
            <w:pPr>
              <w:spacing w:before="80" w:after="80"/>
            </w:pPr>
            <w:r>
              <w:rPr>
                <w:rFonts w:ascii="Arial" w:hAnsi="Arial"/>
                <w:b/>
                <w:i w:val="0"/>
                <w:sz w:val="19"/>
              </w:rPr>
              <w:t>Perfil de produto indicado</w:t>
            </w:r>
          </w:p>
        </w:tc>
        <w:tc>
          <w:tcPr>
            <w:tcW w:type="dxa" w:w="3024"/>
            <w:shd w:val="clear" w:color="auto" w:fill="F2F7FD"/>
          </w:tcPr>
          <w:p>
            <w:pPr>
              <w:spacing w:before="80" w:after="80"/>
              <w:jc w:val="center"/>
            </w:pPr>
            <w:r>
              <w:rPr>
                <w:rFonts w:ascii="Arial" w:hAnsi="Arial"/>
                <w:b w:val="0"/>
                <w:i w:val="0"/>
                <w:sz w:val="19"/>
              </w:rPr>
              <w:t>Médio-alto / uso misto</w:t>
            </w:r>
          </w:p>
        </w:tc>
        <w:tc>
          <w:tcPr>
            <w:tcW w:type="dxa" w:w="3024"/>
            <w:shd w:val="clear" w:color="auto" w:fill="F0F7F0"/>
          </w:tcPr>
          <w:p>
            <w:pPr>
              <w:spacing w:before="80" w:after="80"/>
              <w:jc w:val="center"/>
            </w:pPr>
            <w:r>
              <w:rPr>
                <w:rFonts w:ascii="Arial" w:hAnsi="Arial"/>
                <w:b w:val="0"/>
                <w:i w:val="0"/>
                <w:sz w:val="19"/>
              </w:rPr>
              <w:t>Médio / MCMV F2-F3 ou HIS</w:t>
            </w:r>
          </w:p>
        </w:tc>
      </w:tr>
    </w:tbl>
    <w:p>
      <w:pPr>
        <w:spacing w:after="80"/>
      </w:pPr>
    </w:p>
    <w:p>
      <w:pPr>
        <w:spacing w:after="160"/>
        <w:jc w:val="both"/>
      </w:pPr>
      <w:r>
        <w:rPr>
          <w:rFonts w:ascii="Arial" w:hAnsi="Arial"/>
          <w:b w:val="0"/>
          <w:i/>
          <w:color w:val="666666"/>
          <w:sz w:val="18"/>
        </w:rPr>
        <w:t>* Estimativa preliminar. Custo de obra, CUB e VGV unitário devem ser calibrados com pesquisa local em Castanhal/PA.</w:t>
      </w:r>
    </w:p>
    <w:p>
      <w:pPr>
        <w:pBdr>
          <w:bottom w:val="single" w:sz="6" w:space="1" w:color="2E75B6"/>
        </w:pBdr>
        <w:spacing w:before="280" w:after="120"/>
      </w:pPr>
      <w:r>
        <w:rPr>
          <w:rFonts w:ascii="Arial" w:hAnsi="Arial"/>
          <w:b/>
          <w:color w:val="1F3864"/>
          <w:sz w:val="26"/>
        </w:rPr>
        <w:t>8. Recomendação Final</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DDEEFF"/>
            <w:shd w:val="clear" w:color="auto" w:fill="DDEEFF"/>
          </w:tcPr>
          <w:p>
            <w:pPr>
              <w:spacing w:before="160" w:after="160"/>
              <w:jc w:val="both"/>
            </w:pPr>
            <w:r>
              <w:rPr>
                <w:rFonts w:ascii="Arial" w:hAnsi="Arial"/>
                <w:b/>
                <w:color w:val="1F3864"/>
                <w:sz w:val="20"/>
              </w:rPr>
              <w:t>QD 88 — PRIORIDADE 1</w:t>
              <w:br/>
              <w:br/>
            </w:r>
            <w:r>
              <w:rPr>
                <w:rFonts w:ascii="Arial" w:hAnsi="Arial"/>
                <w:sz w:val="19"/>
              </w:rPr>
              <w:t>Indicada para produto residencial de médio-alto padrão ou misto (loja + residencial) com foco em valorização de longo prazo. O custo Promo estimado de R$ 1,67 M e a parcela mensal de R$ 7.852,20 exigem VGV mínimo de R$ 18–22 M para viabilidade. Requer mercado absorvedor de tickets acima de R$ 280 K por unidade em Castanhal.</w:t>
            </w:r>
          </w:p>
        </w:tc>
        <w:tc>
          <w:tcPr>
            <w:tcW w:type="dxa" w:w="4536"/>
            <w:shd w:val="clear" w:color="auto" w:fill="DDEEDD"/>
            <w:shd w:val="clear" w:color="auto" w:fill="DDEEDD"/>
          </w:tcPr>
          <w:p>
            <w:pPr>
              <w:spacing w:before="160" w:after="160"/>
              <w:jc w:val="both"/>
            </w:pPr>
            <w:r>
              <w:rPr>
                <w:rFonts w:ascii="Arial" w:hAnsi="Arial"/>
                <w:b/>
                <w:color w:val="1A5C1A"/>
                <w:sz w:val="20"/>
              </w:rPr>
              <w:t>QD 93 — PRIORIDADE 2</w:t>
              <w:br/>
              <w:br/>
            </w:r>
            <w:r>
              <w:rPr>
                <w:rFonts w:ascii="Arial" w:hAnsi="Arial"/>
                <w:sz w:val="19"/>
              </w:rPr>
              <w:t>Indicada para produto popular ou médio com MCMV F2/F3 ou financiamento Caixa. O custo Promo exato de R$ 979 K e a parcela mensal de R$ 4.597,06 viabilizam projetos com ticket menor (R$ 180–240 K/unidade) e absorção mais rápida. A configuração back-to-back com duas frentes é um diferencial de projeto e o fluxo de caixa é 42% menor do que o da QD 88 ao longo do parcelamento.</w:t>
            </w:r>
          </w:p>
        </w:tc>
      </w:tr>
    </w:tbl>
    <w:p>
      <w:pPr>
        <w:spacing w:after="160"/>
      </w:pPr>
    </w:p>
    <w:p>
      <w:pPr>
        <w:spacing w:after="160"/>
        <w:jc w:val="both"/>
      </w:pPr>
      <w:r>
        <w:rPr>
          <w:rFonts w:ascii="Arial" w:hAnsi="Arial"/>
          <w:b w:val="0"/>
          <w:i w:val="0"/>
          <w:sz w:val="21"/>
        </w:rPr>
        <w:t>Cenário ideal: aquisição dos dois grupamentos em fases distintas — QD 88 para o produto flagship da incorporadora (lançamento de posicionamento) e QD 93 para o produto de volume/velocidade. A estruturação via RET (Regime Especial de Tributação) é aplicável a ambos, desde que cada SPE seja constituída por empreendimento. O parcelamento em 205 meses (17 anos) para ambos os grupamentos pressupõe que a incorporadora utilizará o FGTS/financiamento CEF ou permuta para gerar receita antes do término do parcelamento do terreno — análise de fluxo integrado indispensável na próxima fase de estruturação financeira.</w:t>
      </w:r>
    </w:p>
    <w:p>
      <w:pPr>
        <w:spacing w:after="200"/>
      </w:pPr>
    </w:p>
    <w:p>
      <w:pPr>
        <w:pBdr>
          <w:top w:val="single" w:sz="4" w:space="1" w:color="AAAAAA"/>
        </w:pBdr>
        <w:spacing w:before="120"/>
        <w:jc w:val="center"/>
      </w:pPr>
      <w:r>
        <w:rPr>
          <w:rFonts w:ascii="Arial" w:hAnsi="Arial"/>
          <w:i/>
          <w:color w:val="777777"/>
          <w:sz w:val="16"/>
        </w:rPr>
        <w:t>Parecer elaborado com base no Relatório de Disponibilidade (27/03/2026) e Tabela de Preços Valle/ESalles (02/02/2026). Valores de QD 88 estimados proporcionalmente — confirmar na tabela oficial. Este documento não substitui due diligence jurídica, topográfica ou de engenharia.</w:t>
      </w:r>
    </w:p>
    <w:sectPr w:rsidR="00FC693F" w:rsidRPr="0006063C" w:rsidSect="00034616">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