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F3864"/>
          </w:tcPr>
          <w:p>
            <w:pPr>
              <w:spacing w:before="200" w:after="20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PARECER TÉCNICO DE VIABILIDADE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1F3864"/>
          <w:sz w:val="26"/>
        </w:rPr>
        <w:t>Quadra 88 — Loteamento Residencial Salles Jardim</w:t>
      </w:r>
    </w:p>
    <w:p>
      <w:pPr>
        <w:jc w:val="center"/>
      </w:pPr>
      <w:r>
        <w:rPr>
          <w:rFonts w:ascii="Arial" w:hAnsi="Arial"/>
          <w:color w:val="555555"/>
          <w:sz w:val="22"/>
        </w:rPr>
        <w:t>Avenida José Salles — Castanhal / PA</w:t>
      </w:r>
    </w:p>
    <w:p>
      <w:pPr>
        <w:jc w:val="center"/>
      </w:pPr>
      <w:r>
        <w:rPr>
          <w:rFonts w:ascii="Arial" w:hAnsi="Arial"/>
          <w:i/>
          <w:color w:val="888888"/>
          <w:sz w:val="18"/>
        </w:rPr>
        <w:t>Emissão: 29 de março de 2026     |     Referência: Relatório de Disponibilidade — 27/03/2026</w:t>
      </w:r>
    </w:p>
    <w:p/>
    <w:p>
      <w:pPr>
        <w:spacing w:before="280" w:after="120"/>
        <w:jc w:val="left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6"/>
        </w:rPr>
        <w:t>1. Identificação do Ativo</w:t>
      </w:r>
    </w:p>
    <w:p>
      <w:pPr>
        <w:spacing w:after="80"/>
        <w:jc w:val="both"/>
      </w:pPr>
      <w:r>
        <w:rPr>
          <w:rFonts w:ascii="Arial" w:hAnsi="Arial"/>
          <w:b w:val="0"/>
          <w:i w:val="0"/>
          <w:sz w:val="21"/>
        </w:rPr>
        <w:t>Este parecer analisa o Grupamento 1 da Quadra 88 do Loteamento (602) Residencial Salles Jardim, localizado em Castanhal/PA. O grupamento é composto por 6 lotes consecutivos com frente para a Avenida José Salles — o logradouro de maior hierarquia viária e valorização do empreendimento.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D9E2F3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Loteamento</w:t>
            </w:r>
          </w:p>
        </w:tc>
        <w:tc>
          <w:tcPr>
            <w:tcW w:type="dxa" w:w="5669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sz w:val="20"/>
              </w:rPr>
              <w:t>(602) Residencial Salles Jardim — Castanhal/PA</w:t>
            </w:r>
          </w:p>
        </w:tc>
      </w:tr>
      <w:tr>
        <w:tc>
          <w:tcPr>
            <w:tcW w:type="dxa" w:w="3402"/>
            <w:shd w:val="clear" w:color="auto" w:fill="D9E2F3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Quadra / Grupamento</w:t>
            </w:r>
          </w:p>
        </w:tc>
        <w:tc>
          <w:tcPr>
            <w:tcW w:type="dxa" w:w="5669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sz w:val="20"/>
              </w:rPr>
              <w:t>QD 88 — Grupamento Principal (LTs 27 a 32)</w:t>
            </w:r>
          </w:p>
        </w:tc>
      </w:tr>
      <w:tr>
        <w:tc>
          <w:tcPr>
            <w:tcW w:type="dxa" w:w="3402"/>
            <w:shd w:val="clear" w:color="auto" w:fill="D9E2F3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Logradouro</w:t>
            </w:r>
          </w:p>
        </w:tc>
        <w:tc>
          <w:tcPr>
            <w:tcW w:type="dxa" w:w="5669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sz w:val="20"/>
              </w:rPr>
              <w:t>Avenida José Salles</w:t>
            </w:r>
          </w:p>
        </w:tc>
      </w:tr>
      <w:tr>
        <w:tc>
          <w:tcPr>
            <w:tcW w:type="dxa" w:w="3402"/>
            <w:shd w:val="clear" w:color="auto" w:fill="D9E2F3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Quantidade de lotes</w:t>
            </w:r>
          </w:p>
        </w:tc>
        <w:tc>
          <w:tcPr>
            <w:tcW w:type="dxa" w:w="5669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sz w:val="20"/>
              </w:rPr>
              <w:t>6 lotes consecutivos</w:t>
            </w:r>
          </w:p>
        </w:tc>
      </w:tr>
      <w:tr>
        <w:tc>
          <w:tcPr>
            <w:tcW w:type="dxa" w:w="3402"/>
            <w:shd w:val="clear" w:color="auto" w:fill="D9E2F3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Área total do terreno</w:t>
            </w:r>
          </w:p>
        </w:tc>
        <w:tc>
          <w:tcPr>
            <w:tcW w:type="dxa" w:w="5669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sz w:val="20"/>
              </w:rPr>
              <w:t>2.100,00 m²</w:t>
            </w:r>
          </w:p>
        </w:tc>
      </w:tr>
      <w:tr>
        <w:tc>
          <w:tcPr>
            <w:tcW w:type="dxa" w:w="3402"/>
            <w:shd w:val="clear" w:color="auto" w:fill="D9E2F3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Valor total de tabela</w:t>
            </w:r>
          </w:p>
        </w:tc>
        <w:tc>
          <w:tcPr>
            <w:tcW w:type="dxa" w:w="5669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sz w:val="20"/>
              </w:rPr>
              <w:t>R$ 2.040.864,00  (R$ 340.144,00 / lote)</w:t>
            </w:r>
          </w:p>
        </w:tc>
      </w:tr>
    </w:tbl>
    <w:p/>
    <w:p>
      <w:pPr>
        <w:spacing w:before="280" w:after="120"/>
        <w:jc w:val="left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6"/>
        </w:rPr>
        <w:t>2. Ficha Técnica — Lotes 27 a 32</w:t>
      </w:r>
    </w:p>
    <w:p>
      <w:pPr>
        <w:spacing w:after="80"/>
        <w:jc w:val="both"/>
      </w:pPr>
      <w:r>
        <w:rPr>
          <w:rFonts w:ascii="Arial" w:hAnsi="Arial"/>
          <w:b w:val="0"/>
          <w:i w:val="0"/>
          <w:sz w:val="21"/>
        </w:rPr>
        <w:t>Os 6 lotes que compõem o grupamento são homogêneos em dimensões e padrão, todos com testada para a Avenida José Salles, o que confere máxima exposição e valor ao empreendimento. Abaixo a ficha técnica individual: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LT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Área (m²)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M. Frente (m)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M. Fundo (m)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Lado Dir. (m)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Lado Esq. (m)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Valor (R$)</w:t>
            </w:r>
          </w:p>
        </w:tc>
      </w:tr>
      <w:tr>
        <w:tc>
          <w:tcPr>
            <w:tcW w:type="dxa" w:w="1296"/>
            <w:shd w:val="clear" w:color="auto" w:fill="EEF3FB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27</w:t>
            </w:r>
          </w:p>
        </w:tc>
        <w:tc>
          <w:tcPr>
            <w:tcW w:type="dxa" w:w="1296"/>
            <w:shd w:val="clear" w:color="auto" w:fill="EEF3FB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350,00</w:t>
            </w:r>
          </w:p>
        </w:tc>
        <w:tc>
          <w:tcPr>
            <w:tcW w:type="dxa" w:w="1296"/>
            <w:shd w:val="clear" w:color="auto" w:fill="EEF3FB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10,00</w:t>
            </w:r>
          </w:p>
        </w:tc>
        <w:tc>
          <w:tcPr>
            <w:tcW w:type="dxa" w:w="1296"/>
            <w:shd w:val="clear" w:color="auto" w:fill="EEF3FB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10,00</w:t>
            </w:r>
          </w:p>
        </w:tc>
        <w:tc>
          <w:tcPr>
            <w:tcW w:type="dxa" w:w="1296"/>
            <w:shd w:val="clear" w:color="auto" w:fill="EEF3FB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35,00</w:t>
            </w:r>
          </w:p>
        </w:tc>
        <w:tc>
          <w:tcPr>
            <w:tcW w:type="dxa" w:w="1296"/>
            <w:shd w:val="clear" w:color="auto" w:fill="EEF3FB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35,00</w:t>
            </w:r>
          </w:p>
        </w:tc>
        <w:tc>
          <w:tcPr>
            <w:tcW w:type="dxa" w:w="1296"/>
            <w:shd w:val="clear" w:color="auto" w:fill="EEF3FB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340.144,00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28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350,00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10,00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10,00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35,00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35,00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340.144,00</w:t>
            </w:r>
          </w:p>
        </w:tc>
      </w:tr>
      <w:tr>
        <w:tc>
          <w:tcPr>
            <w:tcW w:type="dxa" w:w="1296"/>
            <w:shd w:val="clear" w:color="auto" w:fill="EEF3FB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29</w:t>
            </w:r>
          </w:p>
        </w:tc>
        <w:tc>
          <w:tcPr>
            <w:tcW w:type="dxa" w:w="1296"/>
            <w:shd w:val="clear" w:color="auto" w:fill="EEF3FB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350,00</w:t>
            </w:r>
          </w:p>
        </w:tc>
        <w:tc>
          <w:tcPr>
            <w:tcW w:type="dxa" w:w="1296"/>
            <w:shd w:val="clear" w:color="auto" w:fill="EEF3FB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10,00</w:t>
            </w:r>
          </w:p>
        </w:tc>
        <w:tc>
          <w:tcPr>
            <w:tcW w:type="dxa" w:w="1296"/>
            <w:shd w:val="clear" w:color="auto" w:fill="EEF3FB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10,00</w:t>
            </w:r>
          </w:p>
        </w:tc>
        <w:tc>
          <w:tcPr>
            <w:tcW w:type="dxa" w:w="1296"/>
            <w:shd w:val="clear" w:color="auto" w:fill="EEF3FB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35,00</w:t>
            </w:r>
          </w:p>
        </w:tc>
        <w:tc>
          <w:tcPr>
            <w:tcW w:type="dxa" w:w="1296"/>
            <w:shd w:val="clear" w:color="auto" w:fill="EEF3FB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35,00</w:t>
            </w:r>
          </w:p>
        </w:tc>
        <w:tc>
          <w:tcPr>
            <w:tcW w:type="dxa" w:w="1296"/>
            <w:shd w:val="clear" w:color="auto" w:fill="EEF3FB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340.144,00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350,00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10,00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10,00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35,00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35,00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340.144,00</w:t>
            </w:r>
          </w:p>
        </w:tc>
      </w:tr>
      <w:tr>
        <w:tc>
          <w:tcPr>
            <w:tcW w:type="dxa" w:w="1296"/>
            <w:shd w:val="clear" w:color="auto" w:fill="EEF3FB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31</w:t>
            </w:r>
          </w:p>
        </w:tc>
        <w:tc>
          <w:tcPr>
            <w:tcW w:type="dxa" w:w="1296"/>
            <w:shd w:val="clear" w:color="auto" w:fill="EEF3FB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350,00</w:t>
            </w:r>
          </w:p>
        </w:tc>
        <w:tc>
          <w:tcPr>
            <w:tcW w:type="dxa" w:w="1296"/>
            <w:shd w:val="clear" w:color="auto" w:fill="EEF3FB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10,00</w:t>
            </w:r>
          </w:p>
        </w:tc>
        <w:tc>
          <w:tcPr>
            <w:tcW w:type="dxa" w:w="1296"/>
            <w:shd w:val="clear" w:color="auto" w:fill="EEF3FB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10,00</w:t>
            </w:r>
          </w:p>
        </w:tc>
        <w:tc>
          <w:tcPr>
            <w:tcW w:type="dxa" w:w="1296"/>
            <w:shd w:val="clear" w:color="auto" w:fill="EEF3FB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35,00</w:t>
            </w:r>
          </w:p>
        </w:tc>
        <w:tc>
          <w:tcPr>
            <w:tcW w:type="dxa" w:w="1296"/>
            <w:shd w:val="clear" w:color="auto" w:fill="EEF3FB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35,00</w:t>
            </w:r>
          </w:p>
        </w:tc>
        <w:tc>
          <w:tcPr>
            <w:tcW w:type="dxa" w:w="1296"/>
            <w:shd w:val="clear" w:color="auto" w:fill="EEF3FB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340.144,00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32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350,00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10,00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10,00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35,00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35,00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340.144,00</w:t>
            </w:r>
          </w:p>
        </w:tc>
      </w:tr>
      <w:tr>
        <w:tc>
          <w:tcPr>
            <w:tcW w:type="dxa" w:w="1296"/>
            <w:shd w:val="clear" w:color="auto" w:fill="D9E2F3"/>
            <w:shd w:val="clear" w:color="auto" w:fill="BDD7EE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TOTAL</w:t>
            </w:r>
          </w:p>
        </w:tc>
        <w:tc>
          <w:tcPr>
            <w:tcW w:type="dxa" w:w="1296"/>
            <w:shd w:val="clear" w:color="auto" w:fill="BDD7EE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2.100,00</w:t>
            </w:r>
          </w:p>
        </w:tc>
        <w:tc>
          <w:tcPr>
            <w:tcW w:type="dxa" w:w="1296"/>
            <w:shd w:val="clear" w:color="auto" w:fill="BDD7EE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60,00*</w:t>
            </w:r>
          </w:p>
        </w:tc>
        <w:tc>
          <w:tcPr>
            <w:tcW w:type="dxa" w:w="1296"/>
            <w:shd w:val="clear" w:color="auto" w:fill="BDD7EE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—</w:t>
            </w:r>
          </w:p>
        </w:tc>
        <w:tc>
          <w:tcPr>
            <w:tcW w:type="dxa" w:w="1296"/>
            <w:shd w:val="clear" w:color="auto" w:fill="BDD7EE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—</w:t>
            </w:r>
          </w:p>
        </w:tc>
        <w:tc>
          <w:tcPr>
            <w:tcW w:type="dxa" w:w="1296"/>
            <w:shd w:val="clear" w:color="auto" w:fill="BDD7EE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—</w:t>
            </w:r>
          </w:p>
        </w:tc>
        <w:tc>
          <w:tcPr>
            <w:tcW w:type="dxa" w:w="1296"/>
            <w:shd w:val="clear" w:color="auto" w:fill="BDD7EE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2.040.864,00</w:t>
            </w:r>
          </w:p>
        </w:tc>
      </w:tr>
    </w:tbl>
    <w:p/>
    <w:p>
      <w:r>
        <w:rPr>
          <w:rFonts w:ascii="Arial" w:hAnsi="Arial"/>
          <w:i/>
          <w:color w:val="666666"/>
          <w:sz w:val="18"/>
        </w:rPr>
        <w:t>* Testada total consolidada: 6 lotes × 10,00 m = 60,00 m de frente para a Avenida José Salles.</w:t>
      </w:r>
    </w:p>
    <w:p/>
    <w:p>
      <w:pPr>
        <w:spacing w:before="280" w:after="120"/>
        <w:jc w:val="left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6"/>
        </w:rPr>
        <w:t>3. Análise de Potencial Construtivo</w:t>
      </w:r>
    </w:p>
    <w:p>
      <w:pPr>
        <w:spacing w:after="80"/>
        <w:jc w:val="both"/>
      </w:pPr>
      <w:r>
        <w:rPr>
          <w:rFonts w:ascii="Arial" w:hAnsi="Arial"/>
          <w:b w:val="0"/>
          <w:i w:val="0"/>
          <w:sz w:val="21"/>
        </w:rPr>
        <w:t>O terreno consolidado (fusão dos 6 lotes) apresenta geometria regular e dimensões favoráveis à implantação de empreendimento residencial multifamiliar ou misto. As características físicas resultantes da unificação são: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2EEF9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Testada (frente) — Av. José Salles</w:t>
            </w:r>
          </w:p>
        </w:tc>
        <w:tc>
          <w:tcPr>
            <w:tcW w:type="dxa" w:w="4536"/>
            <w:shd w:val="clear" w:color="auto" w:fill="F2F7FD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sz w:val="20"/>
              </w:rPr>
              <w:t>60,00 m</w:t>
            </w:r>
          </w:p>
        </w:tc>
      </w:tr>
      <w:tr>
        <w:tc>
          <w:tcPr>
            <w:tcW w:type="dxa" w:w="4536"/>
            <w:shd w:val="clear" w:color="auto" w:fill="E2EEF9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Profundidade (lateral)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sz w:val="20"/>
              </w:rPr>
              <w:t>35,00 m</w:t>
            </w:r>
          </w:p>
        </w:tc>
      </w:tr>
      <w:tr>
        <w:tc>
          <w:tcPr>
            <w:tcW w:type="dxa" w:w="4536"/>
            <w:shd w:val="clear" w:color="auto" w:fill="E2EEF9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Área total do terreno</w:t>
            </w:r>
          </w:p>
        </w:tc>
        <w:tc>
          <w:tcPr>
            <w:tcW w:type="dxa" w:w="4536"/>
            <w:shd w:val="clear" w:color="auto" w:fill="F2F7FD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sz w:val="20"/>
              </w:rPr>
              <w:t>2.100 m²</w:t>
            </w:r>
          </w:p>
        </w:tc>
      </w:tr>
      <w:tr>
        <w:tc>
          <w:tcPr>
            <w:tcW w:type="dxa" w:w="4536"/>
            <w:shd w:val="clear" w:color="auto" w:fill="E2EEF9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Geometria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sz w:val="20"/>
              </w:rPr>
              <w:t>Retangular regular</w:t>
            </w:r>
          </w:p>
        </w:tc>
      </w:tr>
      <w:tr>
        <w:tc>
          <w:tcPr>
            <w:tcW w:type="dxa" w:w="4536"/>
            <w:shd w:val="clear" w:color="auto" w:fill="E2EEF9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Orientação de frente</w:t>
            </w:r>
          </w:p>
        </w:tc>
        <w:tc>
          <w:tcPr>
            <w:tcW w:type="dxa" w:w="4536"/>
            <w:shd w:val="clear" w:color="auto" w:fill="F2F7FD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sz w:val="20"/>
              </w:rPr>
              <w:t>Avenida José Salles (via coletora principal)</w:t>
            </w:r>
          </w:p>
        </w:tc>
      </w:tr>
    </w:tbl>
    <w:p/>
    <w:p>
      <w:pPr>
        <w:spacing w:after="80"/>
        <w:jc w:val="both"/>
      </w:pPr>
      <w:r>
        <w:rPr>
          <w:rFonts w:ascii="Arial" w:hAnsi="Arial"/>
          <w:b w:val="0"/>
          <w:i w:val="0"/>
          <w:sz w:val="21"/>
        </w:rPr>
        <w:t>Considerando os parâmetros urbanísticos típicos para loteamentos aprovados em Castanhal (recuos mínimos de 5m frontal, 1,5m lateral e 3m de fundos), a projeção estimada de área construível por pavimento é: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Parâmetro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Dimensão/Valor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Projeção de planta (estimada)</w:t>
            </w:r>
          </w:p>
        </w:tc>
        <w:tc>
          <w:tcPr>
            <w:tcW w:type="dxa" w:w="3024"/>
            <w:shd w:val="clear" w:color="auto" w:fill="EBF3FB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~50,00 m × 26,00 m = 1.300 m²</w:t>
            </w:r>
          </w:p>
        </w:tc>
        <w:tc>
          <w:tcPr>
            <w:tcW w:type="dxa" w:w="3024"/>
            <w:shd w:val="clear" w:color="auto" w:fill="EBF3FB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Após recuos mínimos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Potencial de unidades / andar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10 a 14 unidades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Tipologia 2-3 dorms (~65-90 m²/unidade)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Gabarito estimado viável</w:t>
            </w:r>
          </w:p>
        </w:tc>
        <w:tc>
          <w:tcPr>
            <w:tcW w:type="dxa" w:w="3024"/>
            <w:shd w:val="clear" w:color="auto" w:fill="EBF3FB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Térro + 3 a 5 pavimentos</w:t>
            </w:r>
          </w:p>
        </w:tc>
        <w:tc>
          <w:tcPr>
            <w:tcW w:type="dxa" w:w="3024"/>
            <w:shd w:val="clear" w:color="auto" w:fill="EBF3FB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Sujeito a confirmação municipal</w:t>
            </w:r>
          </w:p>
        </w:tc>
      </w:tr>
    </w:tbl>
    <w:p/>
    <w:p>
      <w:pPr>
        <w:spacing w:before="280" w:after="120"/>
        <w:jc w:val="left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6"/>
        </w:rPr>
        <w:t>4. Posicionamento Estratégico no Loteamento</w:t>
      </w:r>
    </w:p>
    <w:p>
      <w:pPr>
        <w:spacing w:after="80"/>
        <w:jc w:val="both"/>
      </w:pPr>
      <w:r>
        <w:rPr>
          <w:rFonts w:ascii="Arial" w:hAnsi="Arial"/>
          <w:b w:val="0"/>
          <w:i w:val="0"/>
          <w:sz w:val="21"/>
        </w:rPr>
        <w:t>A QD 88 ocupa posição diferenciada dentro do Residencial Salles Jardim por três razões objetivas:</w:t>
      </w:r>
    </w:p>
    <w:p/>
    <w:p>
      <w:pPr>
        <w:pStyle w:val="ListBullet"/>
        <w:spacing w:after="60"/>
      </w:pPr>
      <w:r>
        <w:rPr>
          <w:rFonts w:ascii="Arial" w:hAnsi="Arial"/>
          <w:sz w:val="21"/>
        </w:rPr>
        <w:t>Localização na via principal: a Avenida José Salles é o eixo estruturante do loteamento, com maior fluxo, visibilidade e hierarquia viária. Imóveis com frente para esta avenida comandam o maior valor por metro quadrado do empreendimento — R$ 971/m² vs. média de R$ 396–519/m² nas vias secundárias.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Lotes de maior padrão dimensional: os lotes da QD 88 têm 350 m² cada (10,00m × 35,00m), contra a média de 250–262 m² das demais quadras. Isso representa 33% mais área por unidade de frente adquirida.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Homogeneidade do grupamento: os 6 lotes consecutivos (27 a 32) possuem dimensões e valor idênticos, sem irregularidades de chanfro, quinas ou testadas reduzidas — simplificando o projeto arquitetônico e a regularização do desmembramento.</w:t>
      </w:r>
    </w:p>
    <w:p/>
    <w:p>
      <w:pPr>
        <w:spacing w:after="80"/>
        <w:jc w:val="both"/>
      </w:pPr>
      <w:r>
        <w:rPr>
          <w:rFonts w:ascii="Arial" w:hAnsi="Arial"/>
          <w:b w:val="0"/>
          <w:i w:val="0"/>
          <w:sz w:val="21"/>
        </w:rPr>
        <w:t>Comparativo com os demais grupamentos identificados no relatório de disponibilidade: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Grupamento</w:t>
            </w:r>
          </w:p>
        </w:tc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Lotes</w:t>
            </w:r>
          </w:p>
        </w:tc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Área Total</w:t>
            </w:r>
          </w:p>
        </w:tc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Valor Total</w:t>
            </w:r>
          </w:p>
        </w:tc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R$/m²</w:t>
            </w:r>
          </w:p>
        </w:tc>
      </w:tr>
      <w:tr>
        <w:tc>
          <w:tcPr>
            <w:tcW w:type="dxa" w:w="1814"/>
            <w:shd w:val="clear" w:color="auto" w:fill="F2F7FD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QD 87 — Av. G + Rua 60 (b2b)</w:t>
            </w:r>
          </w:p>
        </w:tc>
        <w:tc>
          <w:tcPr>
            <w:tcW w:type="dxa" w:w="1814"/>
            <w:shd w:val="clear" w:color="auto" w:fill="F2F7FD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11 lotes</w:t>
            </w:r>
          </w:p>
        </w:tc>
        <w:tc>
          <w:tcPr>
            <w:tcW w:type="dxa" w:w="1814"/>
            <w:shd w:val="clear" w:color="auto" w:fill="F2F7FD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2.864 m²</w:t>
            </w:r>
          </w:p>
        </w:tc>
        <w:tc>
          <w:tcPr>
            <w:tcW w:type="dxa" w:w="1814"/>
            <w:shd w:val="clear" w:color="auto" w:fill="F2F7FD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~R$ 1,58 M</w:t>
            </w:r>
          </w:p>
        </w:tc>
        <w:tc>
          <w:tcPr>
            <w:tcW w:type="dxa" w:w="1814"/>
            <w:shd w:val="clear" w:color="auto" w:fill="F2F7FD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R$ 553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QD 93 — Rua 33 + Rua 31 (b2b)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9 lotes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2.300 m²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R$ 1,19 M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R$ 519</w:t>
            </w:r>
          </w:p>
        </w:tc>
      </w:tr>
      <w:tr>
        <w:tc>
          <w:tcPr>
            <w:tcW w:type="dxa" w:w="1814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QD 88 — Av. José Salles ★</w:t>
            </w:r>
          </w:p>
        </w:tc>
        <w:tc>
          <w:tcPr>
            <w:tcW w:type="dxa" w:w="1814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 lotes</w:t>
            </w:r>
          </w:p>
        </w:tc>
        <w:tc>
          <w:tcPr>
            <w:tcW w:type="dxa" w:w="1814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2.100 m²</w:t>
            </w:r>
          </w:p>
        </w:tc>
        <w:tc>
          <w:tcPr>
            <w:tcW w:type="dxa" w:w="1814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R$ 2,04 M</w:t>
            </w:r>
          </w:p>
        </w:tc>
        <w:tc>
          <w:tcPr>
            <w:tcW w:type="dxa" w:w="1814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R$ 971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QD 86 — Rua 60 + Rua 58 (b2b)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 lotes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2.086 m²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~R$ 1,23 M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R$ 590</w:t>
            </w:r>
          </w:p>
        </w:tc>
      </w:tr>
    </w:tbl>
    <w:p/>
    <w:p>
      <w:r>
        <w:rPr>
          <w:rFonts w:ascii="Arial" w:hAnsi="Arial"/>
          <w:i/>
          <w:color w:val="666666"/>
          <w:sz w:val="18"/>
        </w:rPr>
        <w:t>b2b = contiguidade pelos fundos (back-to-back). ★ = objeto deste parecer.</w:t>
      </w:r>
    </w:p>
    <w:p/>
    <w:p>
      <w:pPr>
        <w:spacing w:before="280" w:after="120"/>
        <w:jc w:val="left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6"/>
        </w:rPr>
        <w:t>5. Pontos de Atenção para o Projeto Arquitetônico</w:t>
      </w:r>
    </w:p>
    <w:p>
      <w:pPr>
        <w:spacing w:after="80"/>
        <w:jc w:val="both"/>
      </w:pPr>
      <w:r>
        <w:rPr>
          <w:rFonts w:ascii="Arial" w:hAnsi="Arial"/>
          <w:b w:val="0"/>
          <w:i w:val="0"/>
          <w:sz w:val="21"/>
        </w:rPr>
        <w:t>Para o desenvolvimento do estudo de massa e anteprojeto, recomenda-se verificar e confirmar os seguintes parâmetros junto à Prefeitura de Castanhal e ao cartório de registro:</w:t>
      </w:r>
    </w:p>
    <w:p/>
    <w:p>
      <w:pPr>
        <w:pStyle w:val="ListBullet"/>
        <w:spacing w:after="60"/>
      </w:pPr>
      <w:r>
        <w:rPr>
          <w:rFonts w:ascii="Arial" w:hAnsi="Arial"/>
          <w:sz w:val="21"/>
        </w:rPr>
        <w:t>Coeficiente de Aproveitamento (CA) e Taxa de Ocupação (TO): fundamentais para cálculo do potencial construtivo e definição do gabarito máximo permitido.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Recuos obrigatórios: especialmente o recuo frontal para a Av. José Salles, que pode variar conforme a classificação viária municipal (coletora ou arterial).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Gabarito máximo: Castanhal não dispõe de Plano Diretor consolidado com limitação expressa de altura em todas as zonas — confirmar zoneamento específico da QD 88.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Unificação de matrículas: os 6 lotes deverão ser unificados em matrícula única antes do alvará de construção. Verificar ônus, hipotecas ou alienações fiduciárias.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Acesso de veículos e vagas: a testada de 60,00 m permite múltiplos acessos; verificar afastamentos mínimos entre rebaixos de guia e esquinas.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Faixa de domínio da Av. José Salles: confirmar se há previsão de alargamento viário futuro que possa reduzir a testada efetiva do lote.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Disponibilidade de infraestrutura: rede de água, esgoto, energia e drenagem pluvial — o loteamento é "aprovado", mas confirmar execução e entrega das redes.</w:t>
      </w:r>
    </w:p>
    <w:p/>
    <w:p>
      <w:pPr>
        <w:spacing w:before="280" w:after="120"/>
        <w:jc w:val="left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6"/>
        </w:rPr>
        <w:t>6. Recomendação e Próximos Passos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7F3E7"/>
          </w:tcPr>
          <w:p>
            <w:pPr>
              <w:spacing w:before="160" w:after="160"/>
              <w:jc w:val="both"/>
            </w:pPr>
            <w:r>
              <w:rPr>
                <w:rFonts w:ascii="Arial" w:hAnsi="Arial"/>
                <w:b/>
                <w:color w:val="1A5C1A"/>
                <w:sz w:val="21"/>
              </w:rPr>
              <w:t>RECOMENDAÇÃO: O Grupamento QD 88 (LTs 27–32, Av. José Salles) é o ativo de maior valor estratégico identificado no loteamento. Apesar da área total (2.100 m²) ser inferior ao grupamento QD 87 (2.864 m²), a localização em via principal e o custo de aquisição de R$ 2,04M justificam priorização para produto residencial de médio-alto padrão ou uso misto com loja no térreo. Recomenda-se dar sequência imediata ao estudo de massa e consulta prévia de viabilidade junto à Prefeitura de Castanhal.</w:t>
            </w:r>
          </w:p>
        </w:tc>
      </w:tr>
    </w:tbl>
    <w:p/>
    <w:p>
      <w:pPr>
        <w:spacing w:after="80"/>
        <w:jc w:val="both"/>
      </w:pPr>
      <w:r>
        <w:rPr>
          <w:rFonts w:ascii="Arial" w:hAnsi="Arial"/>
          <w:b w:val="0"/>
          <w:i w:val="0"/>
          <w:sz w:val="21"/>
        </w:rPr>
        <w:t>Sequência de ações recomendada: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  <w:shd w:val="clear" w:color="auto" w:fill="EBF3FB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01</w:t>
            </w:r>
          </w:p>
        </w:tc>
        <w:tc>
          <w:tcPr>
            <w:tcW w:type="dxa" w:w="3024"/>
            <w:shd w:val="clear" w:color="auto" w:fill="2E75B6"/>
            <w:shd w:val="clear" w:color="auto" w:fill="EBF3FB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Consulta prévia de viabilidade na Prefeitura de Castanhal</w:t>
            </w:r>
          </w:p>
        </w:tc>
        <w:tc>
          <w:tcPr>
            <w:tcW w:type="dxa" w:w="3024"/>
            <w:shd w:val="clear" w:color="auto" w:fill="2E75B6"/>
            <w:shd w:val="clear" w:color="auto" w:fill="EBF3FB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sz w:val="19"/>
              </w:rPr>
              <w:t>Confirmar CA, TO, gabarito e recuos para a Av. José Salles.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02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Estudo de massa arquitetônico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sz w:val="19"/>
              </w:rPr>
              <w:t>Definir tipologia (residencial multifamiliar / misto), número de pavimentos e unidades.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03</w:t>
            </w:r>
          </w:p>
        </w:tc>
        <w:tc>
          <w:tcPr>
            <w:tcW w:type="dxa" w:w="3024"/>
            <w:shd w:val="clear" w:color="auto" w:fill="EBF3FB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Solicitação de matrícula e certidão de ônus</w:t>
            </w:r>
          </w:p>
        </w:tc>
        <w:tc>
          <w:tcPr>
            <w:tcW w:type="dxa" w:w="3024"/>
            <w:shd w:val="clear" w:color="auto" w:fill="EBF3FB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sz w:val="19"/>
              </w:rPr>
              <w:t>Verificar situação jurídica dos 6 lotes junto ao Cartório de Registro de Imóveis.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04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Modelagem de viabilidade econômica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sz w:val="19"/>
              </w:rPr>
              <w:t>VGV estimado, custo de obra, retorno e enquadramento no RET / financiamento CEF.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05</w:t>
            </w:r>
          </w:p>
        </w:tc>
        <w:tc>
          <w:tcPr>
            <w:tcW w:type="dxa" w:w="3024"/>
            <w:shd w:val="clear" w:color="auto" w:fill="EBF3FB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Negociação com a loteadora (Valle)</w:t>
            </w:r>
          </w:p>
        </w:tc>
        <w:tc>
          <w:tcPr>
            <w:tcW w:type="dxa" w:w="3024"/>
            <w:shd w:val="clear" w:color="auto" w:fill="EBF3FB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sz w:val="19"/>
              </w:rPr>
              <w:t>Condições de pagamento, permuta ou entrada via consórcio imobiliário.</w:t>
            </w:r>
          </w:p>
        </w:tc>
      </w:tr>
    </w:tbl>
    <w:p/>
    <w:p>
      <w:pPr>
        <w:spacing w:before="400"/>
      </w:pPr>
      <w:r>
        <w:rPr>
          <w:rFonts w:ascii="Arial" w:hAnsi="Arial"/>
          <w:color w:val="555555"/>
          <w:sz w:val="20"/>
        </w:rPr>
        <w:t>Castanhal/PA, 29 de março de 2026</w:t>
      </w:r>
    </w:p>
    <w:p>
      <w:r>
        <w:rPr>
          <w:rFonts w:ascii="Arial" w:hAnsi="Arial"/>
          <w:b/>
          <w:sz w:val="20"/>
        </w:rPr>
        <w:t>Elaborado por: Sócio Jurídico/Estratégico</w:t>
      </w:r>
    </w:p>
    <w:p>
      <w:r>
        <w:rPr>
          <w:rFonts w:ascii="Arial" w:hAnsi="Arial"/>
          <w:color w:val="888888"/>
          <w:sz w:val="19"/>
        </w:rPr>
        <w:t>Incorporadora — em constituição</w:t>
      </w:r>
    </w:p>
    <w:p>
      <w:r>
        <w:rPr>
          <w:rFonts w:ascii="Arial" w:hAnsi="Arial"/>
          <w:i/>
          <w:color w:val="AAAAAA"/>
          <w:sz w:val="17"/>
        </w:rPr>
        <w:t>Documento elaborado com base no Relatório de Disponibilidade de 27/03/2026 (Loteamento 602 — Valle Empreendimentos) e análise de mapeamento de lotes contíguos. Dados sujeitos a confirmação junto à loteadora e órgãos municipais.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