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6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variable is the name of the location.A variable can store strings or numbers.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string is a datatype that is used to represent text.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Integers, Floating Point Numbers, Boolean, String.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Expression is made up of operators,variables and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spamspamspam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spamspamspam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Variable name can only be a string, not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int,float,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Can only concatenate str to str.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cannot concatenate str to int.</w:t>
      </w:r>
    </w:p>
    <w:p w:rsidR="00000000" w:rsidDel="00000000" w:rsidP="00000000" w:rsidRDefault="00000000" w:rsidRPr="00000000" w14:paraId="00000022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qrXvuuDjre7N/SNFxebJkGYAg==">AMUW2mV3lBJybd1PUhosoth3JxE9WGHNLJFlI06G9y2lSBM9Krw+Ii08ZMPbGwreUcR1wUxcfhKI71Hv8aH0sOHt+kNvBtuIGat+RF9zpDEFJhSDcbd2Y3k=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