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9C588" w14:textId="77777777" w:rsidR="006C5D6A" w:rsidRPr="00062A9C" w:rsidRDefault="00FF7875" w:rsidP="00676125">
      <w:pPr>
        <w:pStyle w:val="Heading1"/>
        <w:jc w:val="center"/>
      </w:pPr>
      <w:r w:rsidRPr="00062A9C">
        <w:rPr>
          <w:bCs/>
        </w:rPr>
        <w:t xml:space="preserve">Multi-horizon </w:t>
      </w:r>
      <w:r w:rsidR="00192F67" w:rsidRPr="00062A9C">
        <w:rPr>
          <w:bCs/>
        </w:rPr>
        <w:t xml:space="preserve">Well Performance </w:t>
      </w:r>
      <w:r w:rsidR="003A2D71">
        <w:rPr>
          <w:bCs/>
        </w:rPr>
        <w:t>Forecasting</w:t>
      </w:r>
      <w:r w:rsidRPr="00062A9C">
        <w:rPr>
          <w:bCs/>
        </w:rPr>
        <w:t xml:space="preserve"> with Temporal Fusion Transformers</w:t>
      </w:r>
    </w:p>
    <w:p w14:paraId="31ABABA7" w14:textId="77777777" w:rsidR="00676125" w:rsidRPr="00062A9C" w:rsidRDefault="00676125" w:rsidP="00E5343E">
      <w:pPr>
        <w:jc w:val="center"/>
        <w:rPr>
          <w:b/>
          <w:vertAlign w:val="superscript"/>
          <w:lang w:val="es-MX"/>
        </w:rPr>
      </w:pPr>
      <w:r w:rsidRPr="00062A9C">
        <w:rPr>
          <w:b/>
          <w:lang w:val="es-MX"/>
        </w:rPr>
        <w:t>Eduardo Maldonado-Cruz</w:t>
      </w:r>
      <w:r w:rsidRPr="00062A9C">
        <w:rPr>
          <w:b/>
          <w:vertAlign w:val="superscript"/>
          <w:lang w:val="es-MX"/>
        </w:rPr>
        <w:t>1</w:t>
      </w:r>
      <w:r w:rsidRPr="00062A9C">
        <w:rPr>
          <w:b/>
          <w:lang w:val="es-MX"/>
        </w:rPr>
        <w:t>, Michael J. Pyrcz</w:t>
      </w:r>
      <w:r w:rsidRPr="00062A9C">
        <w:rPr>
          <w:b/>
          <w:vertAlign w:val="superscript"/>
          <w:lang w:val="es-MX"/>
        </w:rPr>
        <w:t>1,2</w:t>
      </w:r>
    </w:p>
    <w:p w14:paraId="21E4F6D1" w14:textId="77777777" w:rsidR="009F5F8A" w:rsidRPr="00062A9C" w:rsidRDefault="009F5F8A" w:rsidP="009F5F8A">
      <w:pPr>
        <w:rPr>
          <w:lang w:val="es-MX"/>
        </w:rPr>
      </w:pPr>
    </w:p>
    <w:p w14:paraId="67DD7EE6" w14:textId="77777777" w:rsidR="00676125" w:rsidRPr="00062A9C" w:rsidRDefault="00676125" w:rsidP="00676125">
      <w:pPr>
        <w:pStyle w:val="Authors"/>
        <w:jc w:val="center"/>
        <w:rPr>
          <w:rFonts w:ascii="Segoe UI" w:hAnsi="Segoe UI" w:cs="Segoe UI"/>
          <w:b w:val="0"/>
          <w:bCs/>
        </w:rPr>
      </w:pPr>
      <w:r w:rsidRPr="00062A9C">
        <w:rPr>
          <w:rFonts w:ascii="Segoe UI" w:hAnsi="Segoe UI" w:cs="Segoe UI"/>
          <w:b w:val="0"/>
          <w:bCs/>
        </w:rPr>
        <w:t xml:space="preserve">1 – Hildebrand Department of Petroleum and Geosystem Engineering, </w:t>
      </w:r>
      <w:r w:rsidR="009E6790" w:rsidRPr="00062A9C">
        <w:rPr>
          <w:rFonts w:ascii="Segoe UI" w:hAnsi="Segoe UI" w:cs="Segoe UI"/>
          <w:b w:val="0"/>
          <w:bCs/>
        </w:rPr>
        <w:t xml:space="preserve">Cockrell School of Engineering, </w:t>
      </w:r>
      <w:r w:rsidRPr="00062A9C">
        <w:rPr>
          <w:rFonts w:ascii="Segoe UI" w:hAnsi="Segoe UI" w:cs="Segoe UI"/>
          <w:b w:val="0"/>
          <w:bCs/>
        </w:rPr>
        <w:t>The University of Texas at Austin</w:t>
      </w:r>
    </w:p>
    <w:p w14:paraId="375A28A1" w14:textId="77777777" w:rsidR="00676125" w:rsidRPr="00062A9C" w:rsidRDefault="00676125" w:rsidP="00676125">
      <w:pPr>
        <w:pStyle w:val="Authors"/>
        <w:jc w:val="center"/>
        <w:rPr>
          <w:rFonts w:ascii="Segoe UI" w:hAnsi="Segoe UI" w:cs="Segoe UI"/>
          <w:b w:val="0"/>
          <w:bCs/>
        </w:rPr>
      </w:pPr>
      <w:r w:rsidRPr="00062A9C">
        <w:rPr>
          <w:rFonts w:ascii="Segoe UI" w:hAnsi="Segoe UI" w:cs="Segoe UI"/>
          <w:b w:val="0"/>
          <w:bCs/>
        </w:rPr>
        <w:t xml:space="preserve">2 – Department of Geological Sciences, </w:t>
      </w:r>
      <w:r w:rsidR="009E6790" w:rsidRPr="00062A9C">
        <w:rPr>
          <w:rFonts w:ascii="Segoe UI" w:hAnsi="Segoe UI" w:cs="Segoe UI"/>
          <w:b w:val="0"/>
          <w:bCs/>
        </w:rPr>
        <w:t xml:space="preserve">Jackson School of Geosciences, </w:t>
      </w:r>
      <w:r w:rsidRPr="00062A9C">
        <w:rPr>
          <w:rFonts w:ascii="Segoe UI" w:hAnsi="Segoe UI" w:cs="Segoe UI"/>
          <w:b w:val="0"/>
          <w:bCs/>
        </w:rPr>
        <w:t>The University of Texas at Austin</w:t>
      </w:r>
    </w:p>
    <w:p w14:paraId="18D5719F" w14:textId="77777777" w:rsidR="00676125" w:rsidRPr="00062A9C" w:rsidRDefault="00676125" w:rsidP="00676125">
      <w:pPr>
        <w:pStyle w:val="Authors"/>
        <w:jc w:val="center"/>
        <w:rPr>
          <w:rFonts w:ascii="Segoe UI" w:hAnsi="Segoe UI" w:cs="Segoe UI"/>
        </w:rPr>
      </w:pPr>
    </w:p>
    <w:p w14:paraId="4F749F07" w14:textId="77777777" w:rsidR="00753EEA" w:rsidRPr="00062A9C" w:rsidRDefault="00676125" w:rsidP="00FC73AC">
      <w:pPr>
        <w:sectPr w:rsidR="00753EEA" w:rsidRPr="00062A9C" w:rsidSect="003D11F7">
          <w:pgSz w:w="12240" w:h="15840"/>
          <w:pgMar w:top="1440" w:right="1440" w:bottom="1440" w:left="1440" w:header="720" w:footer="720" w:gutter="0"/>
          <w:lnNumType w:countBy="1" w:restart="newSection"/>
          <w:cols w:space="720"/>
          <w:docGrid w:linePitch="360"/>
        </w:sectPr>
      </w:pPr>
      <w:r w:rsidRPr="00062A9C">
        <w:rPr>
          <w:rFonts w:ascii="Segoe UI" w:hAnsi="Segoe UI" w:cs="Segoe UI"/>
          <w:b/>
          <w:bCs/>
        </w:rPr>
        <w:t>Keywords</w:t>
      </w:r>
      <w:r w:rsidRPr="00062A9C">
        <w:rPr>
          <w:rFonts w:ascii="Segoe UI" w:hAnsi="Segoe UI" w:cs="Segoe UI"/>
        </w:rPr>
        <w:t xml:space="preserve">: </w:t>
      </w:r>
      <w:r w:rsidR="00912B7B" w:rsidRPr="00062A9C">
        <w:rPr>
          <w:rFonts w:ascii="Segoe UI" w:hAnsi="Segoe UI" w:cs="Segoe UI"/>
          <w:sz w:val="22"/>
        </w:rPr>
        <w:t xml:space="preserve">Deep Learning, </w:t>
      </w:r>
      <w:r w:rsidR="004D091B">
        <w:rPr>
          <w:rFonts w:ascii="Segoe UI" w:hAnsi="Segoe UI" w:cs="Segoe UI"/>
          <w:sz w:val="22"/>
        </w:rPr>
        <w:t>Temporal Fusion Transformer</w:t>
      </w:r>
      <w:r w:rsidRPr="00062A9C">
        <w:rPr>
          <w:rFonts w:ascii="Segoe UI" w:hAnsi="Segoe UI" w:cs="Segoe UI"/>
          <w:sz w:val="22"/>
        </w:rPr>
        <w:t>, Machine Learning</w:t>
      </w:r>
      <w:r w:rsidR="003A77CE" w:rsidRPr="00062A9C">
        <w:rPr>
          <w:rFonts w:ascii="Segoe UI" w:hAnsi="Segoe UI" w:cs="Segoe UI"/>
          <w:sz w:val="22"/>
        </w:rPr>
        <w:t xml:space="preserve">, </w:t>
      </w:r>
      <w:r w:rsidR="00430C26" w:rsidRPr="00062A9C">
        <w:rPr>
          <w:rFonts w:ascii="Segoe UI" w:hAnsi="Segoe UI" w:cs="Segoe UI"/>
          <w:sz w:val="22"/>
        </w:rPr>
        <w:t>Interpretability, Explainable AI, Multi-well forecasting, History matching</w:t>
      </w:r>
      <w:r w:rsidR="002B4CD5" w:rsidRPr="00062A9C">
        <w:br w:type="page"/>
      </w:r>
    </w:p>
    <w:p w14:paraId="0121A002" w14:textId="77777777" w:rsidR="002B4CD5" w:rsidRPr="00062A9C" w:rsidRDefault="00EE7403" w:rsidP="00C814A2">
      <w:pPr>
        <w:pStyle w:val="Heading1"/>
      </w:pPr>
      <w:r w:rsidRPr="00062A9C">
        <w:lastRenderedPageBreak/>
        <w:t>I</w:t>
      </w:r>
      <w:r w:rsidR="00C814A2" w:rsidRPr="00062A9C">
        <w:t>ntroduction</w:t>
      </w:r>
    </w:p>
    <w:p w14:paraId="02042899" w14:textId="1729303F" w:rsidR="004C1A6B" w:rsidRDefault="00EB55F3" w:rsidP="00371521">
      <w:r>
        <w:t xml:space="preserve">Accurately predicting fluid flow is critical for making informed decisions about the development of subsurface resources such as groundwater, geothermal energy, and oil and gas. Forecasting provides valuable insights into complex rock and fluid systems, helping to </w:t>
      </w:r>
      <w:proofErr w:type="gramStart"/>
      <w:r>
        <w:t>optimize well</w:t>
      </w:r>
      <w:proofErr w:type="gramEnd"/>
      <w:r>
        <w:t xml:space="preserve"> productivity.</w:t>
      </w:r>
      <w:r w:rsidR="00371521" w:rsidRPr="00062A9C">
        <w:t xml:space="preserve"> (</w:t>
      </w:r>
      <w:proofErr w:type="gramStart"/>
      <w:r w:rsidR="00371521" w:rsidRPr="00062A9C">
        <w:t>water</w:t>
      </w:r>
      <w:proofErr w:type="gramEnd"/>
      <w:r w:rsidR="00371521" w:rsidRPr="00062A9C">
        <w:t xml:space="preserve">, hydrocarbon, and heat), maximize resource recovery, </w:t>
      </w:r>
      <w:r w:rsidR="002B3D13" w:rsidRPr="00062A9C">
        <w:t xml:space="preserve">and </w:t>
      </w:r>
      <w:r w:rsidR="00371521" w:rsidRPr="00062A9C">
        <w:t>maximize project economics.</w:t>
      </w:r>
      <w:r w:rsidR="004B6654">
        <w:t xml:space="preserve"> </w:t>
      </w:r>
      <w:r w:rsidR="000D77C0" w:rsidRPr="00062A9C">
        <w:t>Accurate forecasting is essential to operate, desig</w:t>
      </w:r>
      <w:r w:rsidR="00E114E3">
        <w:t>n</w:t>
      </w:r>
      <w:r w:rsidR="000D77C0" w:rsidRPr="00062A9C">
        <w:t xml:space="preserve">, and develop oil and gas fields (Liu et al., 2020). </w:t>
      </w:r>
    </w:p>
    <w:p w14:paraId="74962E14" w14:textId="1158FC5E" w:rsidR="00DF66F6" w:rsidRPr="00062A9C" w:rsidRDefault="001A5E2B" w:rsidP="00371521">
      <w:r w:rsidRPr="00062A9C">
        <w:t>Traditional production forecasting methods</w:t>
      </w:r>
      <w:r w:rsidR="009D04B2" w:rsidRPr="00062A9C">
        <w:t xml:space="preserve"> </w:t>
      </w:r>
      <w:r w:rsidRPr="00062A9C">
        <w:t>include</w:t>
      </w:r>
      <w:r w:rsidR="0046321D">
        <w:t xml:space="preserve"> </w:t>
      </w:r>
      <w:r w:rsidR="00351DBD">
        <w:t>physics-based</w:t>
      </w:r>
      <w:r w:rsidR="00711CE4">
        <w:t xml:space="preserve"> reservoir</w:t>
      </w:r>
      <w:r w:rsidR="00351DBD" w:rsidRPr="00062A9C">
        <w:t xml:space="preserve"> </w:t>
      </w:r>
      <w:r w:rsidR="00351DBD">
        <w:t xml:space="preserve">flow </w:t>
      </w:r>
      <w:r w:rsidR="0046321D" w:rsidRPr="00062A9C">
        <w:t>simulation models</w:t>
      </w:r>
      <w:r w:rsidR="00E627A6">
        <w:t>,</w:t>
      </w:r>
      <w:r w:rsidRPr="00062A9C">
        <w:t xml:space="preserve"> semi-analytical models, decline curves</w:t>
      </w:r>
      <w:r w:rsidR="00D06966">
        <w:t>,</w:t>
      </w:r>
      <w:r w:rsidR="00CB0DCC">
        <w:t xml:space="preserve"> and more recently</w:t>
      </w:r>
      <w:r w:rsidR="00797687">
        <w:t>,</w:t>
      </w:r>
      <w:r w:rsidR="00215A18">
        <w:t xml:space="preserve"> surrogate flow models based on</w:t>
      </w:r>
      <w:r w:rsidR="00CB0DCC">
        <w:t xml:space="preserve"> data-driven methods</w:t>
      </w:r>
      <w:r w:rsidR="009D04B2" w:rsidRPr="00062A9C">
        <w:t>.</w:t>
      </w:r>
      <w:r w:rsidR="003A18BC">
        <w:t xml:space="preserve"> </w:t>
      </w:r>
      <w:r w:rsidR="00EB55F3" w:rsidRPr="00EB55F3">
        <w:t xml:space="preserve">The surrogate flow model is a function that approximates reservoir flow simulation and is utilized to </w:t>
      </w:r>
      <w:r w:rsidR="00EB55F3">
        <w:t>reduce</w:t>
      </w:r>
      <w:r w:rsidR="00EB55F3" w:rsidRPr="00EB55F3">
        <w:t xml:space="preserve"> computational expenses. This approach facilitates timely and informed development decision-making.</w:t>
      </w:r>
      <w:r w:rsidR="009D04B2" w:rsidRPr="00062A9C">
        <w:t xml:space="preserve"> </w:t>
      </w:r>
      <w:r w:rsidR="006F1EE3" w:rsidRPr="00062A9C">
        <w:t>All</w:t>
      </w:r>
      <w:r w:rsidR="009D04B2" w:rsidRPr="00062A9C">
        <w:t xml:space="preserve"> these methods base their forecast</w:t>
      </w:r>
      <w:r w:rsidR="004A62B7">
        <w:t xml:space="preserve">s </w:t>
      </w:r>
      <w:r w:rsidR="009D04B2" w:rsidRPr="00062A9C">
        <w:t xml:space="preserve">on </w:t>
      </w:r>
      <w:r w:rsidR="00E114E3">
        <w:t>a subset of historical</w:t>
      </w:r>
      <w:r w:rsidR="009D04B2" w:rsidRPr="00062A9C">
        <w:t xml:space="preserve"> production data.</w:t>
      </w:r>
      <w:r w:rsidR="004C1A6B">
        <w:t xml:space="preserve"> </w:t>
      </w:r>
      <w:r w:rsidR="00DF66F6" w:rsidRPr="00062A9C">
        <w:t>However, production forecasting depends on multivariate reservoir parameters and complex non-linear fluid flow behavior that is challenging to capture through conventional forecasting techniques</w:t>
      </w:r>
      <w:r w:rsidR="00DB747C" w:rsidRPr="00062A9C">
        <w:t xml:space="preserve"> (Zhou Q. et al.</w:t>
      </w:r>
      <w:r w:rsidR="00AE1694" w:rsidRPr="00062A9C">
        <w:t>,</w:t>
      </w:r>
      <w:r w:rsidR="00E066D7" w:rsidRPr="00062A9C">
        <w:t xml:space="preserve"> 2014</w:t>
      </w:r>
      <w:r w:rsidR="00DB747C" w:rsidRPr="00062A9C">
        <w:t>; Cunningham C. et al.</w:t>
      </w:r>
      <w:r w:rsidR="0045218B" w:rsidRPr="00062A9C">
        <w:t>, 2012;</w:t>
      </w:r>
      <w:r w:rsidR="00BB5643">
        <w:t xml:space="preserve"> </w:t>
      </w:r>
      <w:proofErr w:type="spellStart"/>
      <w:r w:rsidR="00BB5643">
        <w:t>Mohammadmoradi</w:t>
      </w:r>
      <w:proofErr w:type="spellEnd"/>
      <w:r w:rsidR="00BB5643">
        <w:t xml:space="preserve"> et al., 2018;</w:t>
      </w:r>
      <w:r w:rsidR="00DB747C" w:rsidRPr="00062A9C">
        <w:t xml:space="preserve"> Hui G. et al.</w:t>
      </w:r>
      <w:r w:rsidR="00C5056D" w:rsidRPr="00062A9C">
        <w:t>,</w:t>
      </w:r>
      <w:r w:rsidR="0045218B" w:rsidRPr="00062A9C">
        <w:t xml:space="preserve"> 2021;</w:t>
      </w:r>
      <w:r w:rsidR="00DB747C" w:rsidRPr="00062A9C">
        <w:t xml:space="preserve"> </w:t>
      </w:r>
      <w:proofErr w:type="spellStart"/>
      <w:r w:rsidR="00DB747C" w:rsidRPr="00062A9C">
        <w:t>Esmali</w:t>
      </w:r>
      <w:proofErr w:type="spellEnd"/>
      <w:r w:rsidR="00DB747C" w:rsidRPr="00062A9C">
        <w:t xml:space="preserve"> S. et al.</w:t>
      </w:r>
      <w:r w:rsidR="008767F7" w:rsidRPr="00062A9C">
        <w:t xml:space="preserve">, </w:t>
      </w:r>
      <w:r w:rsidR="00443912" w:rsidRPr="00062A9C">
        <w:t>2012</w:t>
      </w:r>
      <w:r w:rsidR="00DB747C" w:rsidRPr="00062A9C">
        <w:t>)</w:t>
      </w:r>
      <w:r w:rsidR="00DF66F6" w:rsidRPr="00062A9C">
        <w:t>.</w:t>
      </w:r>
    </w:p>
    <w:p w14:paraId="407298F5" w14:textId="75F0B388" w:rsidR="00C92761" w:rsidRDefault="00EB55F3" w:rsidP="00371521">
      <w:r>
        <w:t>The use of numerical simulation with reservoir flow simulation models represents the most prevalent method for forecasting petroleum field production</w:t>
      </w:r>
      <w:r w:rsidR="000D77C0" w:rsidRPr="00062A9C">
        <w:t xml:space="preserve">. </w:t>
      </w:r>
      <w:r>
        <w:t>Nevertheless, the accuracy and precision of said models is contingent upon the quality of the geological model as well as the input parameters utilized to match with actual reservoir performance.</w:t>
      </w:r>
      <w:r w:rsidRPr="00062A9C">
        <w:t xml:space="preserve"> </w:t>
      </w:r>
      <w:r w:rsidR="0080450B" w:rsidRPr="00062A9C">
        <w:t>(</w:t>
      </w:r>
      <w:proofErr w:type="spellStart"/>
      <w:r w:rsidR="0080450B" w:rsidRPr="00062A9C">
        <w:t>Ostojic</w:t>
      </w:r>
      <w:proofErr w:type="spellEnd"/>
      <w:r w:rsidR="0080450B" w:rsidRPr="00062A9C">
        <w:t xml:space="preserve"> et al., 2012; Xu et al., 2018).</w:t>
      </w:r>
      <w:r w:rsidR="002F26C6">
        <w:t xml:space="preserve"> </w:t>
      </w:r>
      <w:r>
        <w:t xml:space="preserve">The creation of a geological model involves </w:t>
      </w:r>
      <w:r w:rsidR="0013720E">
        <w:t>several</w:t>
      </w:r>
      <w:r>
        <w:t xml:space="preserve"> underlying assumptions that include boundary conditions, fluid compressibility, reservoir </w:t>
      </w:r>
      <w:r>
        <w:lastRenderedPageBreak/>
        <w:t>heterogeneity, and data utilized to perform grid upscaling (</w:t>
      </w:r>
      <w:proofErr w:type="spellStart"/>
      <w:r>
        <w:t>Michelevichuius</w:t>
      </w:r>
      <w:proofErr w:type="spellEnd"/>
      <w:r>
        <w:t xml:space="preserve"> et al., 2002). Despite best efforts to match the model with actual reservoir performance, the unavailability of rock and fluid properties poses a significant challenge to achieving accurate production forecasting.</w:t>
      </w:r>
      <w:r w:rsidR="00B40D69">
        <w:t xml:space="preserve"> </w:t>
      </w:r>
      <w:r w:rsidR="00631CF2" w:rsidRPr="00062A9C">
        <w:t xml:space="preserve">Short-term events may not be </w:t>
      </w:r>
      <w:r w:rsidR="00C25C54" w:rsidRPr="00062A9C">
        <w:t>accurately</w:t>
      </w:r>
      <w:r w:rsidR="00631CF2" w:rsidRPr="00062A9C">
        <w:t xml:space="preserve"> </w:t>
      </w:r>
      <w:r w:rsidR="00CA55C4">
        <w:t>forecast</w:t>
      </w:r>
      <w:r w:rsidR="00631CF2" w:rsidRPr="00062A9C">
        <w:t>ed by a reservoir simulator</w:t>
      </w:r>
      <w:r w:rsidR="003B2EED">
        <w:t xml:space="preserve"> </w:t>
      </w:r>
      <w:r w:rsidR="0049767A">
        <w:t>(</w:t>
      </w:r>
      <w:r w:rsidR="00457026">
        <w:t>i.e.</w:t>
      </w:r>
      <w:r w:rsidR="00D4426F">
        <w:t>,</w:t>
      </w:r>
      <w:r w:rsidR="00457026">
        <w:t xml:space="preserve"> </w:t>
      </w:r>
      <w:r w:rsidR="00F849A1">
        <w:t>changes in operation controls</w:t>
      </w:r>
      <w:r w:rsidR="0049767A">
        <w:t>)</w:t>
      </w:r>
      <w:r w:rsidR="00631CF2" w:rsidRPr="00062A9C">
        <w:t>, particularly in reservoirs with high heterogeneity</w:t>
      </w:r>
      <w:r w:rsidR="0049767A">
        <w:t xml:space="preserve"> (</w:t>
      </w:r>
      <w:proofErr w:type="spellStart"/>
      <w:r w:rsidR="0049767A">
        <w:t>Parvizi</w:t>
      </w:r>
      <w:proofErr w:type="spellEnd"/>
      <w:r w:rsidR="0049767A">
        <w:t xml:space="preserve"> et al., 2017; Sun et al., 2019)</w:t>
      </w:r>
      <w:r w:rsidR="00631CF2" w:rsidRPr="00062A9C">
        <w:t xml:space="preserve">. </w:t>
      </w:r>
    </w:p>
    <w:p w14:paraId="0762B883" w14:textId="0A21C291" w:rsidR="008A0B5F" w:rsidRPr="00062A9C" w:rsidRDefault="00357C94" w:rsidP="00B818F3">
      <w:r>
        <w:t>Semi-analytical and analytical approaches utilize simplified flow physics to build closed</w:t>
      </w:r>
      <w:r w:rsidR="00EB392C">
        <w:t>-</w:t>
      </w:r>
      <w:r>
        <w:t>form solutions. These</w:t>
      </w:r>
      <w:r w:rsidR="00B818F3">
        <w:t xml:space="preserve"> approaches are used for forecasting well production forecasting and incorporate multiple properties related to fluid flow in the porous media.</w:t>
      </w:r>
      <w:r w:rsidR="006C4BD5">
        <w:t xml:space="preserve"> </w:t>
      </w:r>
      <w:r w:rsidR="00D41521">
        <w:t>There are no convergence issues compared to numerical flow simulation</w:t>
      </w:r>
      <w:r w:rsidR="0005182B">
        <w:t>,</w:t>
      </w:r>
      <w:r w:rsidR="005F0759">
        <w:t xml:space="preserve"> </w:t>
      </w:r>
      <w:r w:rsidR="00C27D9D">
        <w:t xml:space="preserve">and </w:t>
      </w:r>
      <w:r w:rsidR="00E44E73">
        <w:t xml:space="preserve">they </w:t>
      </w:r>
      <w:r w:rsidR="00C27D9D">
        <w:t>are more computationally efficient, especially for large reservoir models</w:t>
      </w:r>
      <w:r w:rsidR="00D740D9">
        <w:t xml:space="preserve"> (Wang et al., 2019</w:t>
      </w:r>
      <w:r w:rsidR="00584B66">
        <w:t xml:space="preserve">; </w:t>
      </w:r>
      <w:proofErr w:type="spellStart"/>
      <w:r w:rsidR="00B635E8">
        <w:t>Zongxiao</w:t>
      </w:r>
      <w:proofErr w:type="spellEnd"/>
      <w:r w:rsidR="00584B66">
        <w:t xml:space="preserve"> et al.,</w:t>
      </w:r>
      <w:r w:rsidR="00B635E8">
        <w:t xml:space="preserve"> 2016</w:t>
      </w:r>
      <w:r w:rsidR="00D740D9">
        <w:t>)</w:t>
      </w:r>
      <w:r w:rsidR="00C27D9D">
        <w:t>.</w:t>
      </w:r>
      <w:r w:rsidR="006E525D">
        <w:t xml:space="preserve"> </w:t>
      </w:r>
      <w:r w:rsidR="000E6C7E">
        <w:t>A drawback of these method</w:t>
      </w:r>
      <w:r w:rsidR="00D85989">
        <w:t>s</w:t>
      </w:r>
      <w:r w:rsidR="000E6C7E">
        <w:t xml:space="preserve"> is </w:t>
      </w:r>
      <w:r w:rsidR="00C24699">
        <w:t>that due to the simplified physics</w:t>
      </w:r>
      <w:r w:rsidR="001D005E">
        <w:t>,</w:t>
      </w:r>
      <w:r w:rsidR="00C24699">
        <w:t xml:space="preserve"> they are</w:t>
      </w:r>
      <w:r w:rsidR="000E6C7E">
        <w:t xml:space="preserve"> </w:t>
      </w:r>
      <w:r w:rsidR="00C24699">
        <w:t>unable</w:t>
      </w:r>
      <w:r w:rsidR="000E6C7E">
        <w:t xml:space="preserve"> to include the effect</w:t>
      </w:r>
      <w:r w:rsidR="00631817">
        <w:t xml:space="preserve"> of production constraints</w:t>
      </w:r>
      <w:r w:rsidR="002D6A2C">
        <w:t xml:space="preserve">, </w:t>
      </w:r>
      <w:r w:rsidR="00C24699">
        <w:t>provide general solutions for any possible forecast scenario</w:t>
      </w:r>
      <w:r w:rsidR="00DD70CE">
        <w:t>, include static properties such as position</w:t>
      </w:r>
      <w:r w:rsidR="002D6A2C">
        <w:t xml:space="preserve">, and </w:t>
      </w:r>
      <w:r w:rsidR="00C24699">
        <w:t>are</w:t>
      </w:r>
      <w:r w:rsidR="00E44E73">
        <w:t xml:space="preserve"> </w:t>
      </w:r>
      <w:r w:rsidR="002D6A2C">
        <w:t>limit</w:t>
      </w:r>
      <w:r w:rsidR="00C24699">
        <w:t>ed</w:t>
      </w:r>
      <w:r w:rsidR="002D6A2C">
        <w:t xml:space="preserve"> </w:t>
      </w:r>
      <w:r w:rsidR="00C24699">
        <w:t>to</w:t>
      </w:r>
      <w:r w:rsidR="002D6A2C">
        <w:t xml:space="preserve"> one</w:t>
      </w:r>
      <w:r w:rsidR="00E44E73">
        <w:t>-at-a-</w:t>
      </w:r>
      <w:r w:rsidR="002D6A2C">
        <w:t>time well analysis</w:t>
      </w:r>
      <w:r w:rsidR="00C97788">
        <w:t xml:space="preserve"> </w:t>
      </w:r>
      <w:r w:rsidR="00631817">
        <w:t>(</w:t>
      </w:r>
      <w:proofErr w:type="spellStart"/>
      <w:r w:rsidR="00631817">
        <w:t>Rahuma</w:t>
      </w:r>
      <w:proofErr w:type="spellEnd"/>
      <w:r w:rsidR="00631817">
        <w:t xml:space="preserve"> et al., 2013</w:t>
      </w:r>
      <w:r w:rsidR="008141F4">
        <w:t>;</w:t>
      </w:r>
      <w:r w:rsidR="00910B83">
        <w:t xml:space="preserve"> Clarkson, 20</w:t>
      </w:r>
      <w:r w:rsidR="008141F4">
        <w:t xml:space="preserve">13; </w:t>
      </w:r>
      <w:proofErr w:type="spellStart"/>
      <w:r w:rsidR="00A2390B">
        <w:t>Mattar</w:t>
      </w:r>
      <w:proofErr w:type="spellEnd"/>
      <w:r w:rsidR="00A2390B">
        <w:t xml:space="preserve"> and Anderson, 2003</w:t>
      </w:r>
      <w:r w:rsidR="00631817">
        <w:t>)</w:t>
      </w:r>
      <w:r w:rsidR="0033329D">
        <w:t>.</w:t>
      </w:r>
    </w:p>
    <w:p w14:paraId="714D3455" w14:textId="7D4C39DF" w:rsidR="008E6604" w:rsidRPr="00062A9C" w:rsidRDefault="0071364D" w:rsidP="000A5DC1">
      <w:r>
        <w:t>T</w:t>
      </w:r>
      <w:r w:rsidR="00E00B30" w:rsidRPr="00062A9C">
        <w:t>raditional decline curve analysis (DCA) use</w:t>
      </w:r>
      <w:r w:rsidR="00526B95" w:rsidRPr="00062A9C">
        <w:t>s</w:t>
      </w:r>
      <w:r w:rsidR="00E00B30" w:rsidRPr="00062A9C">
        <w:t xml:space="preserve"> </w:t>
      </w:r>
      <w:r w:rsidR="00E073A6">
        <w:t xml:space="preserve">empirical formulas of production decline patterns </w:t>
      </w:r>
      <w:r w:rsidR="00E00B30" w:rsidRPr="00062A9C">
        <w:t xml:space="preserve">to fit </w:t>
      </w:r>
      <w:r w:rsidR="006437ED">
        <w:t>sing</w:t>
      </w:r>
      <w:r w:rsidR="00E44E73">
        <w:t>l</w:t>
      </w:r>
      <w:r w:rsidR="006437ED">
        <w:t>e</w:t>
      </w:r>
      <w:r w:rsidR="001D005E">
        <w:t>-</w:t>
      </w:r>
      <w:r w:rsidR="006437ED">
        <w:t xml:space="preserve">well </w:t>
      </w:r>
      <w:r w:rsidR="00E00B30" w:rsidRPr="00062A9C">
        <w:t>production data</w:t>
      </w:r>
      <w:r w:rsidR="00E073A6">
        <w:t xml:space="preserve"> (</w:t>
      </w:r>
      <w:r w:rsidR="00C200E1">
        <w:t>Li et al., 2022</w:t>
      </w:r>
      <w:r w:rsidR="00E073A6">
        <w:t>)</w:t>
      </w:r>
      <w:r w:rsidR="00E00B30" w:rsidRPr="00062A9C">
        <w:t xml:space="preserve">. </w:t>
      </w:r>
      <w:r w:rsidR="00C2409F">
        <w:t xml:space="preserve">DCA models are founded on straightforward mathematical principles, requiring only a handful of parameters, and calibration of these parameters </w:t>
      </w:r>
      <w:proofErr w:type="gramStart"/>
      <w:r w:rsidR="00C2409F">
        <w:t>require</w:t>
      </w:r>
      <w:proofErr w:type="gramEnd"/>
      <w:r w:rsidR="00C2409F">
        <w:t xml:space="preserve"> only production data (Arps, 1945; Gentry, 1972).</w:t>
      </w:r>
      <w:r w:rsidR="00A94B80">
        <w:t xml:space="preserve"> </w:t>
      </w:r>
      <w:r w:rsidR="002B3D13" w:rsidRPr="00062A9C">
        <w:t>However,</w:t>
      </w:r>
      <w:r w:rsidR="007C1A86" w:rsidRPr="00062A9C">
        <w:t xml:space="preserve"> various decline curve models can be applied to conventional and unconventional wells</w:t>
      </w:r>
      <w:r w:rsidR="00D876A8">
        <w:t xml:space="preserve"> (Pickup., 2013</w:t>
      </w:r>
      <w:r w:rsidR="009469CD">
        <w:t xml:space="preserve">). </w:t>
      </w:r>
      <w:r w:rsidR="00C2409F">
        <w:t xml:space="preserve">Moreover, determining the optimal model for use can be a complex task as multiple models may fit a dataset with similar precision yet </w:t>
      </w:r>
      <w:r w:rsidR="00C2409F">
        <w:lastRenderedPageBreak/>
        <w:t>provide different forecasts.</w:t>
      </w:r>
      <w:r w:rsidR="00C2409F" w:rsidRPr="00C2409F">
        <w:t xml:space="preserve"> </w:t>
      </w:r>
      <w:r w:rsidR="00C2409F">
        <w:t>Selecting a single model for probabilistic decline curve analysis (DCA) may result in underestimating the uncertainty in a production forecast (</w:t>
      </w:r>
      <w:proofErr w:type="spellStart"/>
      <w:r w:rsidR="00C2409F">
        <w:t>Fanchi</w:t>
      </w:r>
      <w:proofErr w:type="spellEnd"/>
      <w:r w:rsidR="00C2409F">
        <w:t xml:space="preserve">, 2010; </w:t>
      </w:r>
      <w:proofErr w:type="spellStart"/>
      <w:r w:rsidR="00C2409F">
        <w:t>Belyadi</w:t>
      </w:r>
      <w:proofErr w:type="spellEnd"/>
      <w:r w:rsidR="00C2409F">
        <w:t xml:space="preserve"> et al., 2019).</w:t>
      </w:r>
    </w:p>
    <w:p w14:paraId="39DD8A4E" w14:textId="3BC673D0" w:rsidR="00F34B0B" w:rsidRPr="00062A9C" w:rsidRDefault="000A5DC1" w:rsidP="00AD74BA">
      <w:r w:rsidRPr="00062A9C">
        <w:t xml:space="preserve">More recently, </w:t>
      </w:r>
      <w:r w:rsidR="002B3D13" w:rsidRPr="00062A9C">
        <w:t>data-driven approaches</w:t>
      </w:r>
      <w:r w:rsidR="008C5DBA">
        <w:t xml:space="preserve"> based on surrogate flow models</w:t>
      </w:r>
      <w:r w:rsidR="002B3D13" w:rsidRPr="00062A9C">
        <w:t xml:space="preserve"> </w:t>
      </w:r>
      <w:r w:rsidR="007C1D4A" w:rsidRPr="00062A9C">
        <w:t>to</w:t>
      </w:r>
      <w:r w:rsidR="002B3D13" w:rsidRPr="00062A9C">
        <w:t xml:space="preserve"> perform production forecasts have</w:t>
      </w:r>
      <w:r w:rsidRPr="00062A9C">
        <w:t xml:space="preserve"> </w:t>
      </w:r>
      <w:r w:rsidR="006437ED">
        <w:t>been demonstrated</w:t>
      </w:r>
      <w:r w:rsidR="005C20E6">
        <w:t xml:space="preserve"> </w:t>
      </w:r>
      <w:r w:rsidR="005C20E6" w:rsidRPr="00062A9C">
        <w:t xml:space="preserve">(Kubota and Reinert, 2019; </w:t>
      </w:r>
      <w:proofErr w:type="spellStart"/>
      <w:r w:rsidR="005C20E6" w:rsidRPr="00062A9C">
        <w:t>Davtyan</w:t>
      </w:r>
      <w:proofErr w:type="spellEnd"/>
      <w:r w:rsidR="005C20E6" w:rsidRPr="00062A9C">
        <w:t xml:space="preserve"> et al., 2020; Liu et al., 2020; Zhong et al., 2020</w:t>
      </w:r>
      <w:r w:rsidR="005C20E6">
        <w:t xml:space="preserve">; </w:t>
      </w:r>
      <w:proofErr w:type="spellStart"/>
      <w:r w:rsidR="005C20E6" w:rsidRPr="00062A9C">
        <w:t>Chahar</w:t>
      </w:r>
      <w:proofErr w:type="spellEnd"/>
      <w:r w:rsidR="005C20E6" w:rsidRPr="00062A9C">
        <w:t xml:space="preserve"> et al., 2022; Cao et al., 2022; Iskandar and </w:t>
      </w:r>
      <w:proofErr w:type="spellStart"/>
      <w:r w:rsidR="005C20E6" w:rsidRPr="00062A9C">
        <w:t>Kurihara</w:t>
      </w:r>
      <w:proofErr w:type="spellEnd"/>
      <w:r w:rsidR="005C20E6" w:rsidRPr="00062A9C">
        <w:t>, 2022)</w:t>
      </w:r>
      <w:r w:rsidRPr="00062A9C">
        <w:t xml:space="preserve">. These approaches only consider field response data </w:t>
      </w:r>
      <w:r w:rsidR="006437ED">
        <w:t>to perform forecast</w:t>
      </w:r>
      <w:r w:rsidR="00F85FDE">
        <w:t>s</w:t>
      </w:r>
      <w:r w:rsidR="00136E31">
        <w:t xml:space="preserve"> (i.e., historical </w:t>
      </w:r>
      <w:r w:rsidR="0017333A">
        <w:t>oil rate</w:t>
      </w:r>
      <w:r w:rsidR="00136E31">
        <w:t>)</w:t>
      </w:r>
      <w:r w:rsidR="00D421BB">
        <w:t xml:space="preserve"> and suffer similar </w:t>
      </w:r>
      <w:r w:rsidR="000E6657">
        <w:t>limitations</w:t>
      </w:r>
      <w:r w:rsidR="00D421BB">
        <w:t xml:space="preserve"> as DCA and semi-analytical approaches.</w:t>
      </w:r>
      <w:r w:rsidR="00EE678D">
        <w:t xml:space="preserve"> </w:t>
      </w:r>
      <w:r w:rsidR="00E95987">
        <w:t>T</w:t>
      </w:r>
      <w:r w:rsidR="00EE678D">
        <w:t>hey are unable to include the effect of production constraints,</w:t>
      </w:r>
      <w:r w:rsidR="000E6657">
        <w:t xml:space="preserve"> are</w:t>
      </w:r>
      <w:r w:rsidR="00EE678D">
        <w:t xml:space="preserve"> limited to one-at-a-time well analysi</w:t>
      </w:r>
      <w:r w:rsidR="00AD74BA">
        <w:t>s</w:t>
      </w:r>
      <w:r w:rsidR="007704C4">
        <w:t>,</w:t>
      </w:r>
      <w:r w:rsidR="00AD74BA">
        <w:t xml:space="preserve"> and selecting a single model for probabilistic forecasting can underestimate the uncertainty in a production forecast</w:t>
      </w:r>
      <w:r w:rsidR="00E77230">
        <w:t xml:space="preserve"> </w:t>
      </w:r>
      <w:r w:rsidR="00D44B0C">
        <w:t>(</w:t>
      </w:r>
      <w:r w:rsidR="00E77230">
        <w:t>Werneck, R. de O., 2022; Li et al., 2022</w:t>
      </w:r>
      <w:r w:rsidR="00D44B0C">
        <w:t>)</w:t>
      </w:r>
      <w:r w:rsidR="00AD74BA">
        <w:t>.</w:t>
      </w:r>
      <w:r w:rsidR="008F28AD">
        <w:t xml:space="preserve"> I</w:t>
      </w:r>
      <w:r w:rsidR="00C7593D">
        <w:t>n addition,</w:t>
      </w:r>
      <w:r w:rsidR="001E74A8">
        <w:t xml:space="preserve"> </w:t>
      </w:r>
      <w:r w:rsidR="00C7593D">
        <w:t>these approaches</w:t>
      </w:r>
      <w:r w:rsidR="001E74A8" w:rsidRPr="00062A9C">
        <w:t xml:space="preserve"> are typically black-box models with low </w:t>
      </w:r>
      <w:r w:rsidR="0034238E">
        <w:t xml:space="preserve">model </w:t>
      </w:r>
      <w:r w:rsidR="00BC271A" w:rsidRPr="00062A9C">
        <w:t>interpretability</w:t>
      </w:r>
      <w:r w:rsidR="00BC271A">
        <w:t xml:space="preserve">, </w:t>
      </w:r>
      <w:r w:rsidR="00E14CD2">
        <w:t xml:space="preserve">which </w:t>
      </w:r>
      <w:proofErr w:type="gramStart"/>
      <w:r w:rsidR="00E14CD2">
        <w:t>is the</w:t>
      </w:r>
      <w:proofErr w:type="gramEnd"/>
      <w:r w:rsidR="00E14CD2">
        <w:t xml:space="preserve"> difficulty</w:t>
      </w:r>
      <w:r w:rsidR="0034238E">
        <w:t xml:space="preserve"> to</w:t>
      </w:r>
      <w:r w:rsidR="004C60AC">
        <w:t xml:space="preserve"> </w:t>
      </w:r>
      <w:r w:rsidR="00BF1CE4">
        <w:t>understand and explain</w:t>
      </w:r>
      <w:r w:rsidR="004C60AC">
        <w:t xml:space="preserve"> how a model makes its </w:t>
      </w:r>
      <w:r w:rsidR="007A25D0">
        <w:t>forecast</w:t>
      </w:r>
      <w:r w:rsidR="004C60AC">
        <w:t xml:space="preserve">s or decisions. This is important because it </w:t>
      </w:r>
      <w:r w:rsidR="00A20236">
        <w:t>build</w:t>
      </w:r>
      <w:r w:rsidR="0034238E">
        <w:t>s</w:t>
      </w:r>
      <w:r w:rsidR="00A20236">
        <w:t xml:space="preserve"> trust in the model and its outputs and enables users to identify potential biases, errors, or limitations</w:t>
      </w:r>
      <w:r w:rsidR="00477AE3">
        <w:t xml:space="preserve"> (Carvalho et al., 2019)</w:t>
      </w:r>
      <w:r w:rsidR="004C60AC">
        <w:t>.</w:t>
      </w:r>
      <w:r w:rsidR="00073BA7">
        <w:t xml:space="preserve"> </w:t>
      </w:r>
      <w:r w:rsidR="003575E6">
        <w:t xml:space="preserve">A method to </w:t>
      </w:r>
      <w:r w:rsidR="00672A48">
        <w:t>improve model interpretability</w:t>
      </w:r>
      <w:r w:rsidR="004B004D">
        <w:t xml:space="preserve"> through feature importance</w:t>
      </w:r>
      <w:r w:rsidR="00672A48">
        <w:t xml:space="preserve"> is</w:t>
      </w:r>
      <w:r w:rsidR="002454FA">
        <w:t xml:space="preserve"> </w:t>
      </w:r>
      <w:proofErr w:type="spellStart"/>
      <w:r w:rsidR="002454FA">
        <w:t>SHapley</w:t>
      </w:r>
      <w:proofErr w:type="spellEnd"/>
      <w:r w:rsidR="002454FA">
        <w:t xml:space="preserve"> Additive </w:t>
      </w:r>
      <w:proofErr w:type="spellStart"/>
      <w:r w:rsidR="002454FA">
        <w:t>exPla</w:t>
      </w:r>
      <w:r w:rsidR="001E145C">
        <w:t>na</w:t>
      </w:r>
      <w:r w:rsidR="002454FA">
        <w:t>tions</w:t>
      </w:r>
      <w:proofErr w:type="spellEnd"/>
      <w:r w:rsidR="002454FA">
        <w:t xml:space="preserve"> (SHAP)</w:t>
      </w:r>
      <w:r w:rsidR="00D56912">
        <w:t>,</w:t>
      </w:r>
      <w:r w:rsidR="009D7286">
        <w:t xml:space="preserve"> </w:t>
      </w:r>
      <w:r w:rsidR="00E23D74">
        <w:t xml:space="preserve">proposed by </w:t>
      </w:r>
      <w:r w:rsidR="009D7286">
        <w:t>Lundberg and Lee</w:t>
      </w:r>
      <w:r w:rsidR="00E23D74">
        <w:t xml:space="preserve"> (2017)</w:t>
      </w:r>
      <w:r w:rsidR="005F4B86">
        <w:t xml:space="preserve">. </w:t>
      </w:r>
      <w:r w:rsidR="009773BB">
        <w:t xml:space="preserve">The SHAP explanation method computes </w:t>
      </w:r>
      <w:r w:rsidR="005F4B86">
        <w:t xml:space="preserve">Shapley </w:t>
      </w:r>
      <w:r w:rsidR="00D61640">
        <w:t xml:space="preserve">values </w:t>
      </w:r>
      <w:r w:rsidR="00165511">
        <w:t xml:space="preserve">that </w:t>
      </w:r>
      <w:r w:rsidR="00D61640">
        <w:t>come from cooperative game theory</w:t>
      </w:r>
      <w:r w:rsidR="0071066A">
        <w:t xml:space="preserve"> and are used </w:t>
      </w:r>
      <w:r w:rsidR="002A7E7F">
        <w:t xml:space="preserve">to </w:t>
      </w:r>
      <w:r w:rsidR="00165511">
        <w:t xml:space="preserve">distribute the prediction among the </w:t>
      </w:r>
      <w:r w:rsidR="00C64A13">
        <w:t xml:space="preserve">predictor </w:t>
      </w:r>
      <w:r w:rsidR="00165511">
        <w:t>features</w:t>
      </w:r>
      <w:r w:rsidR="00E143C2">
        <w:t xml:space="preserve"> as a linear additive model</w:t>
      </w:r>
      <w:r w:rsidR="00820ED1">
        <w:t>.</w:t>
      </w:r>
      <w:r w:rsidR="001E145C">
        <w:t xml:space="preserve"> </w:t>
      </w:r>
      <w:r w:rsidR="0033329D">
        <w:t xml:space="preserve">For example, </w:t>
      </w:r>
      <w:r w:rsidR="00AB5FD6">
        <w:t xml:space="preserve">SHAP </w:t>
      </w:r>
      <w:r w:rsidR="00885B9A">
        <w:t>provides intuitive feature importance</w:t>
      </w:r>
      <w:r w:rsidR="000B318C">
        <w:t xml:space="preserve"> through</w:t>
      </w:r>
      <w:r w:rsidR="00161E65">
        <w:t xml:space="preserve"> </w:t>
      </w:r>
      <w:proofErr w:type="spellStart"/>
      <w:r w:rsidR="00161E65">
        <w:t>treeSHAP</w:t>
      </w:r>
      <w:proofErr w:type="spellEnd"/>
      <w:r w:rsidR="00161E65">
        <w:t>,</w:t>
      </w:r>
      <w:r w:rsidR="00A431B9" w:rsidRPr="00A431B9">
        <w:t xml:space="preserve"> </w:t>
      </w:r>
      <w:r w:rsidR="00A431B9">
        <w:t>a variant particularly suited to tree-based machine learning models like decision trees, to offer comprehensible feature importance metrics.</w:t>
      </w:r>
    </w:p>
    <w:p w14:paraId="030F9BB2" w14:textId="4F3A8E75" w:rsidR="00D92364" w:rsidRPr="00062A9C" w:rsidRDefault="008E6604" w:rsidP="00D05A0D">
      <w:r w:rsidRPr="00062A9C">
        <w:lastRenderedPageBreak/>
        <w:t>Standard machine learning approaches</w:t>
      </w:r>
      <w:r w:rsidR="00BC3AC2">
        <w:t xml:space="preserve"> to build surrogate flow models</w:t>
      </w:r>
      <w:r w:rsidRPr="00062A9C">
        <w:t xml:space="preserve"> use deep neural networks (</w:t>
      </w:r>
      <w:r w:rsidR="00C5056D" w:rsidRPr="00062A9C">
        <w:t>D</w:t>
      </w:r>
      <w:r w:rsidRPr="00062A9C">
        <w:t>NN)</w:t>
      </w:r>
      <w:r w:rsidR="00745FE0">
        <w:t xml:space="preserve"> </w:t>
      </w:r>
      <w:r w:rsidR="000464A3">
        <w:t>(</w:t>
      </w:r>
      <w:r w:rsidR="00745FE0">
        <w:t>e.g.,</w:t>
      </w:r>
      <w:r w:rsidR="004E1832">
        <w:t xml:space="preserve"> </w:t>
      </w:r>
      <w:r w:rsidRPr="00062A9C">
        <w:t>recurrent neural networks</w:t>
      </w:r>
      <w:r w:rsidR="00901930">
        <w:t xml:space="preserve"> and</w:t>
      </w:r>
      <w:r w:rsidR="00AB7C0E">
        <w:t xml:space="preserve"> long short</w:t>
      </w:r>
      <w:r w:rsidR="00980AEA">
        <w:t>-</w:t>
      </w:r>
      <w:r w:rsidR="00AB7C0E">
        <w:t>term memory networks</w:t>
      </w:r>
      <w:r w:rsidR="000464A3">
        <w:t>)</w:t>
      </w:r>
      <w:r w:rsidRPr="00062A9C">
        <w:t>.</w:t>
      </w:r>
      <w:r w:rsidR="00D92364" w:rsidRPr="00062A9C">
        <w:t xml:space="preserve"> These </w:t>
      </w:r>
      <w:r w:rsidR="00F57880">
        <w:t>surrogates</w:t>
      </w:r>
      <w:r w:rsidR="00D92364" w:rsidRPr="00062A9C">
        <w:t xml:space="preserve"> are trained to generate forecasts for predefined horizons at each time step, and the architectures typically rely on a sequence-to-sequence model</w:t>
      </w:r>
      <w:r w:rsidR="00A465BA">
        <w:t xml:space="preserve">, where </w:t>
      </w:r>
      <w:r w:rsidR="0059602C">
        <w:t xml:space="preserve">the sequence is a series of </w:t>
      </w:r>
      <w:r w:rsidR="00DF732E">
        <w:t xml:space="preserve">numbers </w:t>
      </w:r>
      <w:r w:rsidR="00FE6EE3">
        <w:t>or events recorded over time (</w:t>
      </w:r>
      <w:r w:rsidR="00276C3C">
        <w:t>e.g.,</w:t>
      </w:r>
      <w:r w:rsidR="00FE6EE3">
        <w:t xml:space="preserve"> production rate).</w:t>
      </w:r>
      <w:r w:rsidR="00BB0679" w:rsidRPr="00062A9C">
        <w:t xml:space="preserve"> </w:t>
      </w:r>
      <w:r w:rsidR="00D92364" w:rsidRPr="00062A9C">
        <w:t xml:space="preserve">However, these </w:t>
      </w:r>
      <w:r w:rsidR="00CF255A">
        <w:t>surrogates</w:t>
      </w:r>
      <w:r w:rsidR="00D92364" w:rsidRPr="00062A9C">
        <w:t xml:space="preserve"> use only the target</w:t>
      </w:r>
      <w:r w:rsidR="0033329D">
        <w:t xml:space="preserve"> response</w:t>
      </w:r>
      <w:r w:rsidR="0087519D">
        <w:t xml:space="preserve"> </w:t>
      </w:r>
      <w:r w:rsidR="00745FE0">
        <w:t>feature</w:t>
      </w:r>
      <w:r w:rsidR="00D92364" w:rsidRPr="00062A9C">
        <w:t xml:space="preserve"> to generate </w:t>
      </w:r>
      <w:r w:rsidR="0033329D">
        <w:t xml:space="preserve">future </w:t>
      </w:r>
      <w:r w:rsidR="00D92364" w:rsidRPr="00062A9C">
        <w:t>forecasts</w:t>
      </w:r>
      <w:r w:rsidR="0033329D">
        <w:t xml:space="preserve"> of the target response feature</w:t>
      </w:r>
      <w:r w:rsidR="00D92364" w:rsidRPr="00062A9C">
        <w:t xml:space="preserve"> </w:t>
      </w:r>
      <w:r w:rsidR="00745FE0">
        <w:t>(e.g., historical production rate</w:t>
      </w:r>
      <w:r w:rsidR="00FF1585">
        <w:t xml:space="preserve"> and pressure measurements</w:t>
      </w:r>
      <w:r w:rsidR="00745FE0">
        <w:t xml:space="preserve">), </w:t>
      </w:r>
      <w:r w:rsidR="00D92364" w:rsidRPr="00062A9C">
        <w:t xml:space="preserve">even when numerous time-varying and static </w:t>
      </w:r>
      <w:r w:rsidR="00745FE0">
        <w:t>features</w:t>
      </w:r>
      <w:r w:rsidR="00D92364" w:rsidRPr="00062A9C">
        <w:t xml:space="preserve"> exist</w:t>
      </w:r>
      <w:r w:rsidR="00434923">
        <w:t xml:space="preserve"> (e.g., </w:t>
      </w:r>
      <w:r w:rsidR="001202FB">
        <w:t>location</w:t>
      </w:r>
      <w:r w:rsidR="000A5D25">
        <w:t xml:space="preserve">, depth, </w:t>
      </w:r>
      <w:r w:rsidR="00434923">
        <w:t>scheduled operations)</w:t>
      </w:r>
      <w:r w:rsidR="00FC3361" w:rsidRPr="00062A9C">
        <w:t xml:space="preserve">, </w:t>
      </w:r>
      <w:r w:rsidR="00745FE0">
        <w:t>omitting</w:t>
      </w:r>
      <w:r w:rsidR="00D92364" w:rsidRPr="00062A9C">
        <w:t xml:space="preserve"> </w:t>
      </w:r>
      <w:r w:rsidR="002B67F1" w:rsidRPr="00062A9C">
        <w:t>essential</w:t>
      </w:r>
      <w:r w:rsidR="00D92364" w:rsidRPr="00062A9C">
        <w:t xml:space="preserve"> </w:t>
      </w:r>
      <w:r w:rsidR="00745FE0">
        <w:t>information</w:t>
      </w:r>
      <w:r w:rsidR="00D92364" w:rsidRPr="00062A9C">
        <w:t xml:space="preserve"> for the forecasting problem</w:t>
      </w:r>
      <w:r w:rsidR="00FC3361" w:rsidRPr="00062A9C">
        <w:t>.</w:t>
      </w:r>
      <w:r w:rsidR="00CB6B2A" w:rsidRPr="00062A9C">
        <w:t xml:space="preserve"> In addition, long sequences suffer from the vanishing gradient problem</w:t>
      </w:r>
      <w:r w:rsidR="00745FE0">
        <w:t xml:space="preserve"> </w:t>
      </w:r>
      <w:r w:rsidR="00CB6B2A" w:rsidRPr="00062A9C">
        <w:t>(</w:t>
      </w:r>
      <w:proofErr w:type="spellStart"/>
      <w:r w:rsidR="00CB6B2A" w:rsidRPr="00062A9C">
        <w:t>Hochreiter</w:t>
      </w:r>
      <w:proofErr w:type="spellEnd"/>
      <w:r w:rsidR="00CB6B2A" w:rsidRPr="00062A9C">
        <w:t>, 1998)</w:t>
      </w:r>
      <w:r w:rsidR="00871538">
        <w:t>.</w:t>
      </w:r>
      <w:r w:rsidR="00ED60B6">
        <w:t xml:space="preserve"> This problem occurs when there are multiple layers in the DNN</w:t>
      </w:r>
      <w:r w:rsidR="003176A2">
        <w:t xml:space="preserve">, </w:t>
      </w:r>
      <w:r w:rsidR="00B241BF">
        <w:t xml:space="preserve">and the model </w:t>
      </w:r>
      <w:r w:rsidR="00EA477E">
        <w:t>loses the ability to propagate useful gradient information from the output</w:t>
      </w:r>
      <w:r w:rsidR="0034238E">
        <w:t xml:space="preserve"> layer</w:t>
      </w:r>
      <w:r w:rsidR="00EA477E">
        <w:t xml:space="preserve"> back to the </w:t>
      </w:r>
      <w:r w:rsidR="00315247">
        <w:t>input</w:t>
      </w:r>
      <w:r w:rsidR="00EA477E">
        <w:t xml:space="preserve"> </w:t>
      </w:r>
      <w:r w:rsidR="0034238E">
        <w:t xml:space="preserve">and early hidden </w:t>
      </w:r>
      <w:r w:rsidR="00EA477E">
        <w:t>layers</w:t>
      </w:r>
      <w:r w:rsidR="00BD4B31">
        <w:t xml:space="preserve"> of the model</w:t>
      </w:r>
      <w:r w:rsidR="00EA477E">
        <w:t>.</w:t>
      </w:r>
    </w:p>
    <w:p w14:paraId="08D4A87A" w14:textId="4CB59813" w:rsidR="004252F3" w:rsidRDefault="00A74217" w:rsidP="00DE52C1">
      <w:r w:rsidRPr="00062A9C">
        <w:t>The transformer architecture</w:t>
      </w:r>
      <w:r w:rsidR="00925737" w:rsidRPr="00062A9C">
        <w:t xml:space="preserve"> (Vaswani et al., 2017)</w:t>
      </w:r>
      <w:r w:rsidR="000F611A">
        <w:t xml:space="preserve"> solves the vanishing gradient problem using </w:t>
      </w:r>
      <w:r w:rsidR="008E6604" w:rsidRPr="00062A9C">
        <w:t>a</w:t>
      </w:r>
      <w:r w:rsidR="00457F21">
        <w:t xml:space="preserve"> multi-head</w:t>
      </w:r>
      <w:r w:rsidR="008E6604" w:rsidRPr="00062A9C">
        <w:t xml:space="preserve"> attention-based architecture for sequential data</w:t>
      </w:r>
      <w:r w:rsidR="0034238E">
        <w:t xml:space="preserve"> for</w:t>
      </w:r>
      <w:r w:rsidR="008E6604" w:rsidRPr="00062A9C">
        <w:t xml:space="preserve"> </w:t>
      </w:r>
      <w:r w:rsidR="002B67F1" w:rsidRPr="00062A9C">
        <w:t>natural language processing</w:t>
      </w:r>
      <w:r w:rsidR="008E6604" w:rsidRPr="00062A9C">
        <w:t xml:space="preserve"> (</w:t>
      </w:r>
      <w:r w:rsidR="002B67F1" w:rsidRPr="00062A9C">
        <w:t>Wolf et al.</w:t>
      </w:r>
      <w:r w:rsidR="005C044E" w:rsidRPr="00062A9C">
        <w:t>,</w:t>
      </w:r>
      <w:r w:rsidR="002B67F1" w:rsidRPr="00062A9C">
        <w:t xml:space="preserve"> 2020</w:t>
      </w:r>
      <w:r w:rsidR="00B075AF" w:rsidRPr="00062A9C">
        <w:t>; Yang et al., 2020</w:t>
      </w:r>
      <w:r w:rsidR="008E6604" w:rsidRPr="00062A9C">
        <w:t>)</w:t>
      </w:r>
      <w:r w:rsidR="002B67F1" w:rsidRPr="00062A9C">
        <w:t xml:space="preserve"> and image processing (Deng et al., 2022</w:t>
      </w:r>
      <w:r w:rsidR="00B075AF" w:rsidRPr="00062A9C">
        <w:t xml:space="preserve">; </w:t>
      </w:r>
      <w:proofErr w:type="spellStart"/>
      <w:r w:rsidR="00B075AF" w:rsidRPr="00062A9C">
        <w:t>Pirnay</w:t>
      </w:r>
      <w:proofErr w:type="spellEnd"/>
      <w:r w:rsidR="00B075AF" w:rsidRPr="00062A9C">
        <w:t xml:space="preserve"> and Chai, 2022, Xiang et al., 2023; Liu and Jung, 2021</w:t>
      </w:r>
      <w:r w:rsidR="002B67F1" w:rsidRPr="00062A9C">
        <w:t>)</w:t>
      </w:r>
      <w:r w:rsidR="008E6604" w:rsidRPr="00062A9C">
        <w:t>.</w:t>
      </w:r>
      <w:r w:rsidR="008D086A">
        <w:t xml:space="preserve"> </w:t>
      </w:r>
      <w:r w:rsidR="00F962E7">
        <w:t>The</w:t>
      </w:r>
      <w:r w:rsidR="00446460">
        <w:t xml:space="preserve"> multi</w:t>
      </w:r>
      <w:r w:rsidR="00A425D7">
        <w:t>-</w:t>
      </w:r>
      <w:r w:rsidR="00446460">
        <w:t>head</w:t>
      </w:r>
      <w:r w:rsidR="00F962E7">
        <w:t xml:space="preserve"> attention</w:t>
      </w:r>
      <w:r w:rsidR="006511FB">
        <w:t xml:space="preserve"> is a critical component of the transformer architecture</w:t>
      </w:r>
      <w:r w:rsidR="00557B84">
        <w:t>,</w:t>
      </w:r>
      <w:r w:rsidR="00C62EEE">
        <w:t xml:space="preserve"> </w:t>
      </w:r>
      <w:r w:rsidR="00557B84">
        <w:t>where th</w:t>
      </w:r>
      <w:r w:rsidR="00C62EEE">
        <w:t>e attention mechanism is implemented as self-attention</w:t>
      </w:r>
      <w:r w:rsidR="00557B84">
        <w:t xml:space="preserve">. </w:t>
      </w:r>
      <w:r w:rsidR="00D32062">
        <w:t>An input sequence</w:t>
      </w:r>
      <w:r w:rsidR="003D717D">
        <w:t xml:space="preserve">, </w:t>
      </w:r>
      <m:oMath>
        <m:r>
          <w:rPr>
            <w:rFonts w:ascii="Cambria Math" w:hAnsi="Cambria Math"/>
          </w:rPr>
          <m:t>x</m:t>
        </m:r>
      </m:oMath>
      <w:r w:rsidR="003D717D">
        <w:rPr>
          <w:rFonts w:eastAsiaTheme="minorEastAsia"/>
        </w:rPr>
        <w:t>,</w:t>
      </w:r>
      <w:r w:rsidR="00D32062">
        <w:t xml:space="preserve"> of </w:t>
      </w:r>
      <m:oMath>
        <m:r>
          <w:rPr>
            <w:rFonts w:ascii="Cambria Math" w:hAnsi="Cambria Math"/>
          </w:rPr>
          <m:t>n</m:t>
        </m:r>
      </m:oMath>
      <w:r w:rsidR="00D32062">
        <w:t xml:space="preserve"> elements </w:t>
      </w:r>
      <w:r w:rsidR="00EE5D85">
        <w:t>with</w:t>
      </w:r>
      <w:r w:rsidR="00EE5D85">
        <w:rPr>
          <w:rFonts w:eastAsiaTheme="minorEastAsia"/>
        </w:rPr>
        <w:t xml:space="preserve"> </w:t>
      </w:r>
      <m:oMath>
        <m:r>
          <w:rPr>
            <w:rFonts w:ascii="Cambria Math" w:hAnsi="Cambria Math"/>
          </w:rPr>
          <m:t>d</m:t>
        </m:r>
      </m:oMath>
      <w:r w:rsidR="00EE5D85">
        <w:rPr>
          <w:rFonts w:eastAsiaTheme="minorEastAsia"/>
        </w:rPr>
        <w:t xml:space="preserve"> predictor features</w:t>
      </w:r>
      <w:r w:rsidR="00D32062">
        <w:t xml:space="preserve">,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sidR="00D32062">
        <w:rPr>
          <w:rFonts w:eastAsiaTheme="minorEastAsia"/>
        </w:rPr>
        <w:t xml:space="preserve"> is projected using three </w:t>
      </w:r>
      <w:r w:rsidR="007F767F">
        <w:rPr>
          <w:rFonts w:eastAsiaTheme="minorEastAsia"/>
        </w:rPr>
        <w:t xml:space="preserve">trainable weight </w:t>
      </w:r>
      <w:r w:rsidR="00D32062">
        <w:rPr>
          <w:rFonts w:eastAsiaTheme="minorEastAsia"/>
        </w:rPr>
        <w:t>matrices</w:t>
      </w:r>
      <w:r w:rsidR="00F5287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q</m:t>
                </m:r>
              </m:sub>
            </m:sSub>
          </m:sup>
        </m:sSup>
      </m:oMath>
      <w:r w:rsidR="00F5287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sup>
        </m:sSup>
        <m:r>
          <w:rPr>
            <w:rFonts w:ascii="Cambria Math" w:eastAsiaTheme="minorEastAsia" w:hAnsi="Cambria Math"/>
          </w:rPr>
          <m:t>,</m:t>
        </m:r>
      </m:oMath>
      <w:r w:rsidR="00F5287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sup>
        </m:sSup>
      </m:oMath>
      <w:r w:rsidR="00DE52C1">
        <w:rPr>
          <w:rFonts w:eastAsiaTheme="minorEastAsia"/>
        </w:rPr>
        <w:t xml:space="preserve"> </w:t>
      </w:r>
      <w:r w:rsidR="0056548A">
        <w:rPr>
          <w:rFonts w:eastAsiaTheme="minorEastAsia"/>
        </w:rPr>
        <w:t>called</w:t>
      </w:r>
      <w:r w:rsidR="00094EB2">
        <w:t xml:space="preserve"> query, </w:t>
      </w:r>
      <m:oMath>
        <m:r>
          <w:rPr>
            <w:rFonts w:ascii="Cambria Math" w:hAnsi="Cambria Math"/>
          </w:rPr>
          <m:t>Q</m:t>
        </m:r>
      </m:oMath>
      <w:r w:rsidR="00094EB2">
        <w:t xml:space="preserve">, key, </w:t>
      </w:r>
      <m:oMath>
        <m:r>
          <w:rPr>
            <w:rFonts w:ascii="Cambria Math" w:hAnsi="Cambria Math"/>
          </w:rPr>
          <m:t>K</m:t>
        </m:r>
      </m:oMath>
      <w:r w:rsidR="00094EB2">
        <w:t xml:space="preserve">, and value </w:t>
      </w:r>
      <m:oMath>
        <m:r>
          <w:rPr>
            <w:rFonts w:ascii="Cambria Math" w:hAnsi="Cambria Math"/>
          </w:rPr>
          <m:t>V</m:t>
        </m:r>
      </m:oMath>
      <w:r w:rsidR="003C124D">
        <w:rPr>
          <w:rFonts w:eastAsiaTheme="minorEastAsia"/>
        </w:rPr>
        <w:t>,</w:t>
      </w:r>
      <w:r w:rsidR="005B0872">
        <w:rPr>
          <w:rFonts w:eastAsiaTheme="minorEastAsia"/>
        </w:rPr>
        <w:t xml:space="preserve"> </w:t>
      </w:r>
      <w:r w:rsidR="0034238E">
        <w:rPr>
          <w:rFonts w:eastAsiaTheme="minorEastAsia"/>
        </w:rPr>
        <w:t>(see</w:t>
      </w:r>
      <w:r w:rsidR="003C124D">
        <w:rPr>
          <w:rFonts w:eastAsiaTheme="minorEastAsia"/>
        </w:rPr>
        <w:t xml:space="preserve"> </w:t>
      </w:r>
      <w:r w:rsidR="0034238E">
        <w:rPr>
          <w:rFonts w:eastAsiaTheme="minorEastAsia"/>
        </w:rPr>
        <w:t>E</w:t>
      </w:r>
      <w:r w:rsidR="005B0872">
        <w:rPr>
          <w:rFonts w:eastAsiaTheme="minorEastAsia"/>
        </w:rPr>
        <w:t xml:space="preserve">quation </w:t>
      </w:r>
      <w:r w:rsidR="0071739B">
        <w:rPr>
          <w:rFonts w:eastAsiaTheme="minorEastAsia"/>
        </w:rPr>
        <w:fldChar w:fldCharType="begin"/>
      </w:r>
      <w:r w:rsidR="0071739B">
        <w:rPr>
          <w:rFonts w:eastAsiaTheme="minorEastAsia"/>
        </w:rPr>
        <w:instrText xml:space="preserve"> REF _Ref127219423 \h </w:instrText>
      </w:r>
      <w:r w:rsidR="0071739B">
        <w:rPr>
          <w:rFonts w:eastAsiaTheme="minorEastAsia"/>
        </w:rPr>
      </w:r>
      <w:r w:rsidR="0071739B">
        <w:rPr>
          <w:rFonts w:eastAsiaTheme="minorEastAsia"/>
        </w:rPr>
        <w:fldChar w:fldCharType="separate"/>
      </w:r>
      <w:r w:rsidR="00B11BFB">
        <w:rPr>
          <w:noProof/>
        </w:rPr>
        <w:t>1</w:t>
      </w:r>
      <w:r w:rsidR="0071739B">
        <w:rPr>
          <w:rFonts w:eastAsiaTheme="minorEastAsia"/>
        </w:rPr>
        <w:fldChar w:fldCharType="end"/>
      </w:r>
      <w:r w:rsidR="0034238E">
        <w:rPr>
          <w:rFonts w:eastAsiaTheme="minorEastAsia"/>
        </w:rPr>
        <w:t>)</w:t>
      </w:r>
      <w:r w:rsidR="00094EB2">
        <w:t>, which are used to compute attention scores for each position in the sequence</w:t>
      </w:r>
      <w:r w:rsidR="0071739B">
        <w:t xml:space="preserve"> </w:t>
      </w:r>
      <w:r w:rsidR="000205B9">
        <w:t xml:space="preserve">described in </w:t>
      </w:r>
      <w:r w:rsidR="0034238E">
        <w:t>E</w:t>
      </w:r>
      <w:r w:rsidR="000205B9">
        <w:t xml:space="preserve">quation </w:t>
      </w:r>
      <w:r w:rsidR="000205B9">
        <w:fldChar w:fldCharType="begin"/>
      </w:r>
      <w:r w:rsidR="000205B9">
        <w:instrText xml:space="preserve"> REF _Ref127219453 \h </w:instrText>
      </w:r>
      <w:r w:rsidR="000205B9">
        <w:fldChar w:fldCharType="separate"/>
      </w:r>
      <w:r w:rsidR="00B11BFB">
        <w:rPr>
          <w:noProof/>
        </w:rPr>
        <w:t>2</w:t>
      </w:r>
      <w:r w:rsidR="000205B9">
        <w:fldChar w:fldCharType="end"/>
      </w:r>
      <w:r w:rsidR="0034238E">
        <w:t xml:space="preserve">, </w:t>
      </w:r>
      <w:r w:rsidR="0034238E">
        <w:rPr>
          <w:rFonts w:eastAsiaTheme="minorEastAsia"/>
        </w:rPr>
        <w:t>to extract feature representations</w:t>
      </w:r>
      <w:r w:rsidR="00094EB2">
        <w:t>.</w:t>
      </w:r>
    </w:p>
    <w:tbl>
      <w:tblPr>
        <w:tblStyle w:val="TableGrid"/>
        <w:tblW w:w="93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
        <w:gridCol w:w="8352"/>
        <w:gridCol w:w="614"/>
      </w:tblGrid>
      <w:tr w:rsidR="008E1703" w:rsidRPr="00062A9C" w14:paraId="21AB027F" w14:textId="77777777" w:rsidTr="0033329D">
        <w:tc>
          <w:tcPr>
            <w:tcW w:w="394" w:type="dxa"/>
          </w:tcPr>
          <w:p w14:paraId="614FF543" w14:textId="77777777" w:rsidR="008E1703" w:rsidRPr="00062A9C" w:rsidRDefault="008E1703" w:rsidP="0033329D">
            <w:pPr>
              <w:pStyle w:val="BodyText"/>
              <w:spacing w:before="18" w:line="480" w:lineRule="auto"/>
              <w:ind w:left="0" w:right="144"/>
              <w:jc w:val="center"/>
              <w:rPr>
                <w:rFonts w:asciiTheme="minorHAnsi" w:hAnsiTheme="minorHAnsi" w:cstheme="minorHAnsi"/>
                <w:w w:val="90"/>
              </w:rPr>
            </w:pPr>
          </w:p>
        </w:tc>
        <w:tc>
          <w:tcPr>
            <w:tcW w:w="8352" w:type="dxa"/>
          </w:tcPr>
          <w:p w14:paraId="5380EADD" w14:textId="77777777" w:rsidR="008E1703" w:rsidRPr="00062A9C" w:rsidRDefault="0026730D" w:rsidP="0033329D">
            <w:pPr>
              <w:spacing w:before="6"/>
              <w:rPr>
                <w:rFonts w:asciiTheme="minorHAnsi" w:eastAsia="Bookman Old Style" w:hAnsiTheme="minorHAnsi" w:cstheme="minorHAnsi"/>
                <w:szCs w:val="24"/>
              </w:rPr>
            </w:pPr>
            <m:oMathPara>
              <m:oMath>
                <m:r>
                  <w:rPr>
                    <w:rFonts w:ascii="Cambria Math" w:hAnsi="Cambria Math" w:cstheme="minorHAnsi"/>
                  </w:rPr>
                  <m:t>Q=</m:t>
                </m:r>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Q</m:t>
                    </m:r>
                  </m:sup>
                </m:sSup>
                <m:r>
                  <w:rPr>
                    <w:rFonts w:ascii="Cambria Math" w:hAnsi="Cambria Math" w:cstheme="minorHAnsi"/>
                  </w:rPr>
                  <m:t>,  K=</m:t>
                </m:r>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K</m:t>
                    </m:r>
                  </m:sup>
                </m:sSup>
                <m:r>
                  <w:rPr>
                    <w:rFonts w:ascii="Cambria Math" w:hAnsi="Cambria Math" w:cstheme="minorHAnsi"/>
                  </w:rPr>
                  <m:t>,  V=</m:t>
                </m:r>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V</m:t>
                    </m:r>
                  </m:sup>
                </m:sSup>
              </m:oMath>
            </m:oMathPara>
          </w:p>
        </w:tc>
        <w:tc>
          <w:tcPr>
            <w:tcW w:w="614" w:type="dxa"/>
          </w:tcPr>
          <w:p w14:paraId="13BF018C" w14:textId="77777777" w:rsidR="008E1703" w:rsidRPr="00062A9C" w:rsidRDefault="00A139B9" w:rsidP="003D0579">
            <w:pPr>
              <w:pStyle w:val="Caption"/>
              <w:rPr>
                <w:rFonts w:cstheme="minorHAnsi"/>
                <w:i/>
                <w:szCs w:val="22"/>
              </w:rPr>
            </w:pPr>
            <w:fldSimple w:instr=" SEQ Equation \* ARABIC ">
              <w:bookmarkStart w:id="0" w:name="_Ref127219423"/>
              <w:r w:rsidR="00B11BFB">
                <w:rPr>
                  <w:noProof/>
                </w:rPr>
                <w:t>1</w:t>
              </w:r>
              <w:bookmarkEnd w:id="0"/>
            </w:fldSimple>
          </w:p>
        </w:tc>
      </w:tr>
    </w:tbl>
    <w:p w14:paraId="388B832D" w14:textId="77777777" w:rsidR="0072391D" w:rsidRDefault="0072391D" w:rsidP="0072391D">
      <w:r>
        <w:t xml:space="preserve">The dot product </w:t>
      </w:r>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oMath>
      <w:r w:rsidR="00A17A81">
        <w:rPr>
          <w:rFonts w:eastAsiaTheme="minorEastAsia"/>
        </w:rPr>
        <w:t xml:space="preserve"> in equation </w:t>
      </w:r>
      <w:r w:rsidR="00A17A81">
        <w:fldChar w:fldCharType="begin"/>
      </w:r>
      <w:r w:rsidR="00A17A81">
        <w:instrText xml:space="preserve"> REF _Ref127219453 \h </w:instrText>
      </w:r>
      <w:r w:rsidR="00A17A81">
        <w:fldChar w:fldCharType="separate"/>
      </w:r>
      <w:r w:rsidR="00B11BFB">
        <w:rPr>
          <w:noProof/>
        </w:rPr>
        <w:t>2</w:t>
      </w:r>
      <w:r w:rsidR="00A17A81">
        <w:fldChar w:fldCharType="end"/>
      </w:r>
      <w:r>
        <w:rPr>
          <w:rFonts w:eastAsiaTheme="minorEastAsia"/>
        </w:rPr>
        <w:t xml:space="preserve"> </w:t>
      </w:r>
      <w:r>
        <w:t xml:space="preserve">determines the contribution of the position to the final representation of the series </w:t>
      </w:r>
      <w:r w:rsidRPr="00062A9C">
        <w:t>(Vaswani et al., 2017)</w:t>
      </w:r>
      <w:r>
        <w:t>.</w:t>
      </w:r>
    </w:p>
    <w:tbl>
      <w:tblPr>
        <w:tblStyle w:val="TableGrid"/>
        <w:tblW w:w="93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
        <w:gridCol w:w="8352"/>
        <w:gridCol w:w="614"/>
      </w:tblGrid>
      <w:tr w:rsidR="0072391D" w:rsidRPr="00062A9C" w14:paraId="5059C4BC" w14:textId="77777777" w:rsidTr="0033329D">
        <w:tc>
          <w:tcPr>
            <w:tcW w:w="394" w:type="dxa"/>
          </w:tcPr>
          <w:p w14:paraId="5B34224C" w14:textId="77777777" w:rsidR="0072391D" w:rsidRPr="00062A9C" w:rsidRDefault="0072391D" w:rsidP="0033329D">
            <w:pPr>
              <w:pStyle w:val="BodyText"/>
              <w:spacing w:before="18" w:line="480" w:lineRule="auto"/>
              <w:ind w:left="0" w:right="144"/>
              <w:jc w:val="center"/>
              <w:rPr>
                <w:rFonts w:asciiTheme="minorHAnsi" w:hAnsiTheme="minorHAnsi" w:cstheme="minorHAnsi"/>
                <w:w w:val="90"/>
              </w:rPr>
            </w:pPr>
          </w:p>
        </w:tc>
        <w:tc>
          <w:tcPr>
            <w:tcW w:w="8352" w:type="dxa"/>
          </w:tcPr>
          <w:p w14:paraId="7A14AC5A" w14:textId="77777777" w:rsidR="0072391D" w:rsidRPr="00062A9C" w:rsidRDefault="0072391D" w:rsidP="0033329D">
            <w:pPr>
              <w:spacing w:before="6"/>
              <w:rPr>
                <w:rFonts w:asciiTheme="minorHAnsi" w:eastAsia="Bookman Old Style" w:hAnsiTheme="minorHAnsi" w:cstheme="minorHAnsi"/>
                <w:szCs w:val="24"/>
              </w:rPr>
            </w:pPr>
            <m:oMathPara>
              <m:oMath>
                <m:r>
                  <m:rPr>
                    <m:nor/>
                  </m:rPr>
                  <w:rPr>
                    <w:rFonts w:ascii="Cambria Math" w:hAnsi="Cambria Math" w:cstheme="minorHAnsi"/>
                  </w:rPr>
                  <m:t>Attention</m:t>
                </m:r>
                <m:d>
                  <m:dPr>
                    <m:ctrlPr>
                      <w:rPr>
                        <w:rFonts w:ascii="Cambria Math" w:hAnsi="Cambria Math" w:cstheme="minorHAnsi"/>
                        <w:i/>
                        <w:iCs/>
                      </w:rPr>
                    </m:ctrlPr>
                  </m:dPr>
                  <m:e>
                    <m:r>
                      <w:rPr>
                        <w:rFonts w:ascii="Cambria Math" w:hAnsi="Cambria Math"/>
                      </w:rPr>
                      <m:t>Q,K,V</m:t>
                    </m:r>
                  </m:e>
                </m:d>
                <m:r>
                  <w:rPr>
                    <w:rFonts w:ascii="Cambria Math" w:hAnsi="Cambria Math" w:cstheme="minorHAnsi"/>
                  </w:rPr>
                  <m:t>=</m:t>
                </m:r>
                <m:r>
                  <m:rPr>
                    <m:sty m:val="p"/>
                  </m:rPr>
                  <w:rPr>
                    <w:rFonts w:ascii="Cambria Math" w:hAnsi="Cambria Math" w:cstheme="minorHAnsi"/>
                  </w:rPr>
                  <m:t>softmax</m:t>
                </m:r>
                <m:d>
                  <m:dPr>
                    <m:ctrlPr>
                      <w:rPr>
                        <w:rFonts w:ascii="Cambria Math" w:hAnsi="Cambria Math" w:cstheme="minorHAnsi"/>
                      </w:rPr>
                    </m:ctrlPr>
                  </m:dPr>
                  <m:e>
                    <m:r>
                      <w:rPr>
                        <w:rFonts w:ascii="Cambria Math" w:hAnsi="Cambria Math" w:cstheme="minorHAnsi"/>
                      </w:rPr>
                      <m:t>Q</m:t>
                    </m:r>
                    <m:sSup>
                      <m:sSupPr>
                        <m:ctrlPr>
                          <w:rPr>
                            <w:rFonts w:ascii="Cambria Math" w:hAnsi="Cambria Math" w:cstheme="minorHAnsi"/>
                            <w:i/>
                          </w:rPr>
                        </m:ctrlPr>
                      </m:sSupPr>
                      <m:e>
                        <m:r>
                          <w:rPr>
                            <w:rFonts w:ascii="Cambria Math" w:hAnsi="Cambria Math" w:cstheme="minorHAnsi"/>
                          </w:rPr>
                          <m:t>K</m:t>
                        </m:r>
                      </m:e>
                      <m:sup>
                        <m:r>
                          <w:rPr>
                            <w:rFonts w:ascii="Cambria Math" w:hAnsi="Cambria Math" w:cstheme="minorHAnsi"/>
                          </w:rPr>
                          <m:t>T</m:t>
                        </m:r>
                      </m:sup>
                    </m:sSup>
                    <m:r>
                      <w:rPr>
                        <w:rFonts w:ascii="Cambria Math" w:hAnsi="Cambria Math" w:cstheme="minorHAnsi"/>
                      </w:rPr>
                      <m:t>/</m:t>
                    </m:r>
                    <m:rad>
                      <m:radPr>
                        <m:degHide m:val="1"/>
                        <m:ctrlPr>
                          <w:rPr>
                            <w:rFonts w:ascii="Cambria Math" w:hAnsi="Cambria Math" w:cstheme="minorHAnsi"/>
                            <w:i/>
                          </w:rPr>
                        </m:ctrlPr>
                      </m:radPr>
                      <m:deg/>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att</m:t>
                            </m:r>
                          </m:sub>
                        </m:sSub>
                      </m:e>
                    </m:rad>
                  </m:e>
                </m:d>
                <m:r>
                  <w:rPr>
                    <w:rFonts w:ascii="Cambria Math" w:eastAsia="Bookman Old Style" w:hAnsi="Cambria Math" w:cstheme="minorHAnsi"/>
                  </w:rPr>
                  <m:t>V</m:t>
                </m:r>
              </m:oMath>
            </m:oMathPara>
          </w:p>
        </w:tc>
        <w:tc>
          <w:tcPr>
            <w:tcW w:w="614" w:type="dxa"/>
          </w:tcPr>
          <w:p w14:paraId="0624E45F" w14:textId="77777777" w:rsidR="0072391D" w:rsidRPr="00062A9C" w:rsidRDefault="00A139B9" w:rsidP="003D0579">
            <w:pPr>
              <w:pStyle w:val="Caption"/>
              <w:rPr>
                <w:rFonts w:cstheme="minorHAnsi"/>
                <w:i/>
                <w:szCs w:val="22"/>
              </w:rPr>
            </w:pPr>
            <w:fldSimple w:instr=" SEQ Equation \* ARABIC ">
              <w:bookmarkStart w:id="1" w:name="_Ref127219453"/>
              <w:r w:rsidR="00B11BFB">
                <w:rPr>
                  <w:noProof/>
                </w:rPr>
                <w:t>2</w:t>
              </w:r>
              <w:bookmarkEnd w:id="1"/>
            </w:fldSimple>
          </w:p>
        </w:tc>
      </w:tr>
    </w:tbl>
    <w:p w14:paraId="1EDD514B" w14:textId="7CF06250" w:rsidR="006E1390" w:rsidRPr="0028710B" w:rsidRDefault="0072391D" w:rsidP="00D05A0D">
      <w:pPr>
        <w:rPr>
          <w:rFonts w:eastAsiaTheme="minorEastAsia"/>
        </w:rPr>
      </w:pPr>
      <w:r>
        <w:t xml:space="preserve">Where </w:t>
      </w:r>
      <w:proofErr w:type="spellStart"/>
      <w:r>
        <w:t>softmax</w:t>
      </w:r>
      <w:proofErr w:type="spellEnd"/>
      <w:r>
        <w:t xml:space="preserve"> denotes a row-wise </w:t>
      </w:r>
      <w:proofErr w:type="spellStart"/>
      <w:r>
        <w:t>softmax</w:t>
      </w:r>
      <w:proofErr w:type="spellEnd"/>
      <w:r>
        <w:t xml:space="preserve"> normalization function, and </w:t>
      </w:r>
      <m:oMath>
        <m:sSub>
          <m:sSubPr>
            <m:ctrlPr>
              <w:rPr>
                <w:rFonts w:ascii="Cambria Math" w:hAnsi="Cambria Math"/>
                <w:i/>
              </w:rPr>
            </m:ctrlPr>
          </m:sSubPr>
          <m:e>
            <m:r>
              <w:rPr>
                <w:rFonts w:ascii="Cambria Math" w:hAnsi="Cambria Math"/>
              </w:rPr>
              <m:t>d</m:t>
            </m:r>
          </m:e>
          <m:sub>
            <m:r>
              <w:rPr>
                <w:rFonts w:ascii="Cambria Math" w:hAnsi="Cambria Math"/>
              </w:rPr>
              <m:t>att</m:t>
            </m:r>
          </m:sub>
        </m:sSub>
      </m:oMath>
      <w:r w:rsidR="00E80285">
        <w:rPr>
          <w:rFonts w:eastAsiaTheme="minorEastAsia"/>
        </w:rPr>
        <w:t xml:space="preserve"> is the dimension of the attention</w:t>
      </w:r>
      <w:r w:rsidR="00F60E17">
        <w:rPr>
          <w:rFonts w:eastAsiaTheme="minorEastAsia"/>
        </w:rPr>
        <w:t xml:space="preserve"> vector</w:t>
      </w:r>
      <w:r>
        <w:t>. Each element in the attention vector depends on all other elements in the same row</w:t>
      </w:r>
      <w:r w:rsidR="003E51AE">
        <w:t xml:space="preserve">. </w:t>
      </w:r>
      <w:r w:rsidR="0087519D">
        <w:t xml:space="preserve">The most relevant vectors are assigned the highest weights through the </w:t>
      </w:r>
      <w:proofErr w:type="spellStart"/>
      <w:r w:rsidR="0087519D">
        <w:t>softmax</w:t>
      </w:r>
      <w:proofErr w:type="spellEnd"/>
      <w:r w:rsidR="0087519D">
        <w:t xml:space="preserve"> operation.</w:t>
      </w:r>
      <w:r w:rsidR="003F7A01">
        <w:t xml:space="preserve"> Usin</w:t>
      </w:r>
      <w:r w:rsidR="00BC21F0">
        <w:t>g</w:t>
      </w:r>
      <w:r w:rsidR="003F7A01">
        <w:t xml:space="preserve"> the attention </w:t>
      </w:r>
      <w:r w:rsidR="00BC21F0">
        <w:t>mechanism,</w:t>
      </w:r>
      <w:r w:rsidR="007D2598">
        <w:t xml:space="preserve"> </w:t>
      </w:r>
      <w:r w:rsidR="003F7A01">
        <w:t>t</w:t>
      </w:r>
      <w:r w:rsidR="00403C68">
        <w:t xml:space="preserve">he model </w:t>
      </w:r>
      <w:r w:rsidR="00674D0F">
        <w:t>“attends”</w:t>
      </w:r>
      <w:r w:rsidR="00217564">
        <w:t xml:space="preserve"> </w:t>
      </w:r>
      <w:r w:rsidR="00403C68">
        <w:t>positions</w:t>
      </w:r>
      <w:r w:rsidR="00674D0F">
        <w:t xml:space="preserve"> with </w:t>
      </w:r>
      <w:r w:rsidR="003F2CAE">
        <w:t xml:space="preserve">the </w:t>
      </w:r>
      <w:r w:rsidR="00674D0F">
        <w:t>highest weights</w:t>
      </w:r>
      <w:r w:rsidR="00403C68">
        <w:t xml:space="preserve"> of the input sequence in parallel instead of relying on a recurrent structure to learn long and short-term relationships across different time </w:t>
      </w:r>
      <w:r w:rsidR="00B07598">
        <w:t>steps (</w:t>
      </w:r>
      <w:r w:rsidR="00403C68">
        <w:t xml:space="preserve">Lin et al., 2022), </w:t>
      </w:r>
      <w:r w:rsidR="00C15EB0">
        <w:t>and then concatenates the resulting matrices before multiplying them by a</w:t>
      </w:r>
      <w:r w:rsidR="00B07598">
        <w:t xml:space="preserve"> trainable</w:t>
      </w:r>
      <w:r w:rsidR="00C15EB0">
        <w:t xml:space="preserve"> weight matrix</w:t>
      </w:r>
      <w:r w:rsidR="00181003">
        <w:t xml:space="preserve"> </w:t>
      </w:r>
      <m:oMath>
        <m:sSup>
          <m:sSupPr>
            <m:ctrlPr>
              <w:rPr>
                <w:rFonts w:ascii="Cambria Math" w:hAnsi="Cambria Math"/>
                <w:i/>
              </w:rPr>
            </m:ctrlPr>
          </m:sSupPr>
          <m:e>
            <m:r>
              <w:rPr>
                <w:rFonts w:ascii="Cambria Math" w:hAnsi="Cambria Math"/>
              </w:rPr>
              <m:t>W</m:t>
            </m:r>
          </m:e>
          <m:sup>
            <m:r>
              <w:rPr>
                <w:rFonts w:ascii="Cambria Math" w:hAnsi="Cambria Math"/>
              </w:rPr>
              <m:t>O</m:t>
            </m:r>
          </m:sup>
        </m:sSup>
      </m:oMath>
      <w:r w:rsidR="00181003">
        <w:rPr>
          <w:rFonts w:eastAsiaTheme="minorEastAsia"/>
        </w:rPr>
        <w:t xml:space="preserve"> to obtain the final </w:t>
      </w:r>
      <w:r w:rsidR="00A776D4">
        <w:rPr>
          <w:rFonts w:eastAsiaTheme="minorEastAsia"/>
        </w:rPr>
        <w:t>multi-head attention matrix.</w:t>
      </w:r>
      <w:r w:rsidR="0028710B">
        <w:rPr>
          <w:rFonts w:eastAsiaTheme="minorEastAsia"/>
        </w:rPr>
        <w:t xml:space="preserve"> </w:t>
      </w:r>
    </w:p>
    <w:tbl>
      <w:tblPr>
        <w:tblStyle w:val="TableGrid"/>
        <w:tblW w:w="93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
        <w:gridCol w:w="8352"/>
        <w:gridCol w:w="614"/>
      </w:tblGrid>
      <w:tr w:rsidR="001F6DF8" w:rsidRPr="00062A9C" w14:paraId="7358CF4A" w14:textId="77777777" w:rsidTr="0033329D">
        <w:tc>
          <w:tcPr>
            <w:tcW w:w="394" w:type="dxa"/>
          </w:tcPr>
          <w:p w14:paraId="2B845A6D" w14:textId="77777777" w:rsidR="001F6DF8" w:rsidRPr="00062A9C" w:rsidRDefault="001F6DF8" w:rsidP="0033329D">
            <w:pPr>
              <w:pStyle w:val="BodyText"/>
              <w:spacing w:before="18" w:line="480" w:lineRule="auto"/>
              <w:ind w:left="0" w:right="144"/>
              <w:jc w:val="center"/>
              <w:rPr>
                <w:rFonts w:asciiTheme="minorHAnsi" w:hAnsiTheme="minorHAnsi" w:cstheme="minorHAnsi"/>
                <w:w w:val="90"/>
              </w:rPr>
            </w:pPr>
          </w:p>
        </w:tc>
        <w:tc>
          <w:tcPr>
            <w:tcW w:w="8352" w:type="dxa"/>
          </w:tcPr>
          <w:p w14:paraId="0F8DD993" w14:textId="77777777" w:rsidR="001F6DF8" w:rsidRPr="001F6DF8" w:rsidRDefault="001F6DF8" w:rsidP="0033329D">
            <w:pPr>
              <w:spacing w:before="6"/>
              <w:rPr>
                <w:rFonts w:asciiTheme="minorHAnsi" w:eastAsia="Bookman Old Style" w:hAnsiTheme="minorHAnsi" w:cstheme="minorHAnsi"/>
                <w:szCs w:val="24"/>
              </w:rPr>
            </w:pPr>
            <w:proofErr w:type="spellStart"/>
            <m:oMathPara>
              <m:oMath>
                <m:r>
                  <m:rPr>
                    <m:nor/>
                  </m:rPr>
                  <w:rPr>
                    <w:rFonts w:ascii="Cambria Math" w:hAnsi="Cambria Math" w:cstheme="minorHAnsi"/>
                  </w:rPr>
                  <m:t>Multihead</m:t>
                </m:r>
                <w:proofErr w:type="spellEnd"/>
                <m:d>
                  <m:dPr>
                    <m:ctrlPr>
                      <w:rPr>
                        <w:rFonts w:ascii="Cambria Math" w:hAnsi="Cambria Math" w:cstheme="minorHAnsi"/>
                        <w:i/>
                        <w:iCs/>
                      </w:rPr>
                    </m:ctrlPr>
                  </m:dPr>
                  <m:e>
                    <m:r>
                      <w:rPr>
                        <w:rFonts w:ascii="Cambria Math" w:hAnsi="Cambria Math"/>
                      </w:rPr>
                      <m:t>Q,K,V</m:t>
                    </m:r>
                  </m:e>
                </m:d>
                <m:r>
                  <w:rPr>
                    <w:rFonts w:ascii="Cambria Math" w:hAnsi="Cambria Math" w:cstheme="minorHAnsi"/>
                  </w:rPr>
                  <m:t>=</m:t>
                </m:r>
                <m:r>
                  <m:rPr>
                    <m:nor/>
                  </m:rPr>
                  <w:rPr>
                    <w:rFonts w:ascii="Cambria Math" w:hAnsi="Cambria Math" w:cstheme="minorHAnsi"/>
                  </w:rPr>
                  <m:t>Concat</m:t>
                </m:r>
                <m:r>
                  <w:rPr>
                    <w:rFonts w:ascii="Cambria Math" w:eastAsia="Bookman Old Style" w:hAnsi="Cambria Math" w:cstheme="minorHAnsi"/>
                  </w:rPr>
                  <m:t xml:space="preserve"> </m:t>
                </m:r>
                <m:d>
                  <m:dPr>
                    <m:ctrlPr>
                      <w:rPr>
                        <w:rFonts w:ascii="Cambria Math" w:eastAsia="Bookman Old Style" w:hAnsi="Cambria Math" w:cstheme="minorHAnsi"/>
                        <w:i/>
                      </w:rPr>
                    </m:ctrlPr>
                  </m:dPr>
                  <m:e>
                    <m:sSub>
                      <m:sSubPr>
                        <m:ctrlPr>
                          <w:rPr>
                            <w:rFonts w:ascii="Cambria Math" w:eastAsia="Bookman Old Style" w:hAnsi="Cambria Math" w:cstheme="minorHAnsi"/>
                            <w:i/>
                          </w:rPr>
                        </m:ctrlPr>
                      </m:sSubPr>
                      <m:e>
                        <m:r>
                          <m:rPr>
                            <m:nor/>
                          </m:rPr>
                          <w:rPr>
                            <w:rFonts w:ascii="Cambria Math" w:eastAsia="Bookman Old Style" w:hAnsi="Cambria Math" w:cstheme="minorHAnsi"/>
                          </w:rPr>
                          <m:t>Attention</m:t>
                        </m:r>
                      </m:e>
                      <m:sub>
                        <m:r>
                          <w:rPr>
                            <w:rFonts w:ascii="Cambria Math" w:eastAsia="Bookman Old Style" w:hAnsi="Cambria Math" w:cstheme="minorHAnsi"/>
                          </w:rPr>
                          <m:t>1</m:t>
                        </m:r>
                      </m:sub>
                    </m:sSub>
                    <m:r>
                      <w:rPr>
                        <w:rFonts w:ascii="Cambria Math" w:eastAsia="Bookman Old Style" w:hAnsi="Cambria Math" w:cstheme="minorHAnsi"/>
                      </w:rPr>
                      <m:t>…,</m:t>
                    </m:r>
                    <m:sSub>
                      <m:sSubPr>
                        <m:ctrlPr>
                          <w:rPr>
                            <w:rFonts w:ascii="Cambria Math" w:eastAsia="Bookman Old Style" w:hAnsi="Cambria Math" w:cstheme="minorHAnsi"/>
                            <w:i/>
                          </w:rPr>
                        </m:ctrlPr>
                      </m:sSubPr>
                      <m:e>
                        <m:r>
                          <m:rPr>
                            <m:nor/>
                          </m:rPr>
                          <w:rPr>
                            <w:rFonts w:ascii="Cambria Math" w:eastAsia="Bookman Old Style" w:hAnsi="Cambria Math" w:cstheme="minorHAnsi"/>
                          </w:rPr>
                          <m:t>Attention</m:t>
                        </m:r>
                      </m:e>
                      <m:sub>
                        <m:r>
                          <w:rPr>
                            <w:rFonts w:ascii="Cambria Math" w:eastAsia="Bookman Old Style" w:hAnsi="Cambria Math" w:cstheme="minorHAnsi"/>
                          </w:rPr>
                          <m:t>h</m:t>
                        </m:r>
                      </m:sub>
                    </m:sSub>
                  </m:e>
                </m:d>
                <m:sSup>
                  <m:sSupPr>
                    <m:ctrlPr>
                      <w:rPr>
                        <w:rFonts w:ascii="Cambria Math" w:eastAsia="Bookman Old Style" w:hAnsi="Cambria Math" w:cstheme="minorHAnsi"/>
                        <w:i/>
                      </w:rPr>
                    </m:ctrlPr>
                  </m:sSupPr>
                  <m:e>
                    <m:r>
                      <w:rPr>
                        <w:rFonts w:ascii="Cambria Math" w:eastAsia="Bookman Old Style" w:hAnsi="Cambria Math" w:cstheme="minorHAnsi"/>
                      </w:rPr>
                      <m:t>W</m:t>
                    </m:r>
                  </m:e>
                  <m:sup>
                    <m:r>
                      <w:rPr>
                        <w:rFonts w:ascii="Cambria Math" w:eastAsia="Bookman Old Style" w:hAnsi="Cambria Math" w:cstheme="minorHAnsi"/>
                      </w:rPr>
                      <m:t>O</m:t>
                    </m:r>
                  </m:sup>
                </m:sSup>
                <m:r>
                  <w:rPr>
                    <w:rFonts w:ascii="Cambria Math" w:eastAsia="Bookman Old Style" w:hAnsi="Cambria Math" w:cstheme="minorHAnsi"/>
                  </w:rPr>
                  <m:t>,</m:t>
                </m:r>
              </m:oMath>
            </m:oMathPara>
          </w:p>
        </w:tc>
        <w:tc>
          <w:tcPr>
            <w:tcW w:w="614" w:type="dxa"/>
          </w:tcPr>
          <w:p w14:paraId="4FE084F0" w14:textId="77777777" w:rsidR="001F6DF8" w:rsidRPr="00062A9C" w:rsidRDefault="00A139B9" w:rsidP="003D0579">
            <w:pPr>
              <w:pStyle w:val="Caption"/>
              <w:rPr>
                <w:rFonts w:cstheme="minorHAnsi"/>
                <w:i/>
                <w:szCs w:val="22"/>
              </w:rPr>
            </w:pPr>
            <w:fldSimple w:instr=" SEQ Equation \* ARABIC ">
              <w:r w:rsidR="00B11BFB">
                <w:rPr>
                  <w:noProof/>
                </w:rPr>
                <w:t>3</w:t>
              </w:r>
            </w:fldSimple>
          </w:p>
        </w:tc>
      </w:tr>
    </w:tbl>
    <w:p w14:paraId="31153D80" w14:textId="34E97287" w:rsidR="009F27E1" w:rsidRPr="00A24E60" w:rsidRDefault="00CA4E1A" w:rsidP="009F27E1">
      <w:pPr>
        <w:rPr>
          <w:rFonts w:eastAsiaTheme="minorEastAsia"/>
        </w:rPr>
      </w:pPr>
      <w:r w:rsidRPr="00062A9C">
        <w:t xml:space="preserve">The Temporal Fusion Transformer (TFT) </w:t>
      </w:r>
      <w:r w:rsidR="003273DF">
        <w:t xml:space="preserve">is a variant of the </w:t>
      </w:r>
      <w:r w:rsidR="00BB6726">
        <w:t>T</w:t>
      </w:r>
      <w:r w:rsidR="003273DF">
        <w:t>ransformer architecture</w:t>
      </w:r>
      <w:r w:rsidR="00101390">
        <w:t>. It</w:t>
      </w:r>
      <w:r w:rsidRPr="00062A9C">
        <w:t xml:space="preserve"> is a novel attention-based architecture </w:t>
      </w:r>
      <w:r w:rsidR="00A7022F">
        <w:t>that learns</w:t>
      </w:r>
      <w:r w:rsidRPr="00062A9C">
        <w:t xml:space="preserve"> temporal relationships at various scales. </w:t>
      </w:r>
      <w:r w:rsidR="00037EFF">
        <w:t xml:space="preserve">The </w:t>
      </w:r>
      <w:r w:rsidR="00B66FEA">
        <w:t xml:space="preserve">TFT is designed </w:t>
      </w:r>
      <w:r w:rsidR="00037EFF">
        <w:t>to forecast multi-</w:t>
      </w:r>
      <w:r w:rsidR="00206CD9">
        <w:t>objective</w:t>
      </w:r>
      <w:r w:rsidR="00037EFF">
        <w:t xml:space="preserve"> time series, data sequences</w:t>
      </w:r>
      <w:r w:rsidR="00B66FEA">
        <w:t xml:space="preserve"> from multiple sources</w:t>
      </w:r>
      <w:r w:rsidR="00286751">
        <w:t>,</w:t>
      </w:r>
      <w:r w:rsidR="00B66FEA">
        <w:t xml:space="preserve"> and temporal dependencies</w:t>
      </w:r>
      <w:r w:rsidR="002D36E1">
        <w:t xml:space="preserve"> </w:t>
      </w:r>
      <w:r w:rsidR="002D36E1" w:rsidRPr="00062A9C">
        <w:t>(Lim et al., 2021)</w:t>
      </w:r>
      <w:r w:rsidR="00B66FEA">
        <w:t xml:space="preserve">. </w:t>
      </w:r>
      <w:r w:rsidR="009F27E1">
        <w:t xml:space="preserve">Given </w:t>
      </w:r>
      <m:oMath>
        <m:r>
          <w:rPr>
            <w:rFonts w:ascii="Cambria Math" w:hAnsi="Cambria Math"/>
          </w:rPr>
          <m:t>I</m:t>
        </m:r>
      </m:oMath>
      <w:r w:rsidR="009F27E1">
        <w:t xml:space="preserve"> unique </w:t>
      </w:r>
      <w:r w:rsidR="00D67ECA">
        <w:t xml:space="preserve">measured points </w:t>
      </w:r>
      <w:r w:rsidR="009F27E1">
        <w:t xml:space="preserve">in a time series dataset, each </w:t>
      </w:r>
      <m:oMath>
        <m:r>
          <w:rPr>
            <w:rFonts w:ascii="Cambria Math" w:hAnsi="Cambria Math"/>
          </w:rPr>
          <m:t>i</m:t>
        </m:r>
      </m:oMath>
      <w:r w:rsidR="009F27E1">
        <w:rPr>
          <w:rFonts w:eastAsiaTheme="minorEastAsia"/>
        </w:rPr>
        <w:t xml:space="preserve"> </w:t>
      </w:r>
      <w:r w:rsidR="00DA54CD">
        <w:rPr>
          <w:rFonts w:eastAsiaTheme="minorEastAsia"/>
        </w:rPr>
        <w:t>element</w:t>
      </w:r>
      <w:r w:rsidR="009F27E1">
        <w:rPr>
          <w:rFonts w:eastAsiaTheme="minorEastAsia"/>
        </w:rPr>
        <w:t xml:space="preserve"> is associated with a set of static </w:t>
      </w:r>
      <w:r w:rsidR="0029189D">
        <w:rPr>
          <w:rFonts w:eastAsiaTheme="minorEastAsia"/>
        </w:rPr>
        <w:t xml:space="preserve">predictor features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up>
        </m:sSup>
      </m:oMath>
      <w:r w:rsidR="009F27E1">
        <w:rPr>
          <w:rFonts w:eastAsiaTheme="minorEastAsia"/>
        </w:rPr>
        <w:t>(i.e., position),</w:t>
      </w:r>
      <w:r w:rsidR="00115F38">
        <w:rPr>
          <w:rFonts w:eastAsiaTheme="minorEastAsia"/>
        </w:rPr>
        <w:t xml:space="preserve"> dynamic</w:t>
      </w:r>
      <w:r w:rsidR="009F27E1">
        <w:rPr>
          <w:rFonts w:eastAsiaTheme="minorEastAsia"/>
        </w:rPr>
        <w:t xml:space="preserve"> </w:t>
      </w:r>
      <w:r w:rsidR="00DA54CD">
        <w:rPr>
          <w:rFonts w:eastAsiaTheme="minorEastAsia"/>
        </w:rPr>
        <w:t>predictor</w:t>
      </w:r>
      <w:r w:rsidR="007F6B68">
        <w:rPr>
          <w:rFonts w:eastAsiaTheme="minorEastAsia"/>
        </w:rPr>
        <w:t xml:space="preserve"> features</w:t>
      </w:r>
      <w:r w:rsidR="009F27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i,t</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up>
        </m:sSup>
      </m:oMath>
      <w:r w:rsidR="009F27E1">
        <w:rPr>
          <w:rFonts w:eastAsiaTheme="minorEastAsia"/>
        </w:rPr>
        <w:t xml:space="preserve"> and </w:t>
      </w:r>
      <w:r w:rsidR="007E0690">
        <w:rPr>
          <w:rFonts w:eastAsiaTheme="minorEastAsia"/>
        </w:rPr>
        <w:t>response feature</w:t>
      </w:r>
      <w:r w:rsidR="009B71E1">
        <w:rPr>
          <w:rFonts w:eastAsiaTheme="minorEastAsia"/>
        </w:rPr>
        <w:t>s</w:t>
      </w:r>
      <w:r w:rsidR="009F27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m:rPr>
            <m:scr m:val="double-struck"/>
          </m:rPr>
          <w:rPr>
            <w:rFonts w:ascii="Cambria Math" w:eastAsiaTheme="minorEastAsia" w:hAnsi="Cambria Math"/>
          </w:rPr>
          <m:t>∈R</m:t>
        </m:r>
      </m:oMath>
      <w:r w:rsidR="009F27E1">
        <w:rPr>
          <w:rFonts w:eastAsiaTheme="minorEastAsia"/>
        </w:rPr>
        <w:t xml:space="preserve"> (i.e</w:t>
      </w:r>
      <w:r w:rsidR="00745D0D">
        <w:rPr>
          <w:rFonts w:eastAsiaTheme="minorEastAsia"/>
        </w:rPr>
        <w:t>.</w:t>
      </w:r>
      <w:r w:rsidR="009F27E1">
        <w:rPr>
          <w:rFonts w:eastAsiaTheme="minorEastAsia"/>
        </w:rPr>
        <w:t xml:space="preserve">, oil rate, water rate, or BHP) at each time step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0,T</m:t>
            </m:r>
          </m:e>
        </m:d>
      </m:oMath>
      <w:r w:rsidR="009F27E1">
        <w:rPr>
          <w:rFonts w:eastAsiaTheme="minorEastAsia"/>
        </w:rPr>
        <w:t xml:space="preserve">. The time-dependent </w:t>
      </w:r>
      <w:r w:rsidR="009312C7">
        <w:rPr>
          <w:rFonts w:eastAsiaTheme="minorEastAsia"/>
        </w:rPr>
        <w:lastRenderedPageBreak/>
        <w:t>predictor</w:t>
      </w:r>
      <w:r w:rsidR="009F27E1">
        <w:rPr>
          <w:rFonts w:eastAsiaTheme="minorEastAsia"/>
        </w:rPr>
        <w:t xml:space="preserve"> features </w:t>
      </w:r>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i,t</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i,t</m:t>
                    </m:r>
                  </m:sub>
                  <m:sup>
                    <m:r>
                      <w:rPr>
                        <w:rFonts w:ascii="Cambria Math" w:eastAsiaTheme="minorEastAsia" w:hAnsi="Cambria Math"/>
                      </w:rPr>
                      <m:t>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i,t</m:t>
                    </m:r>
                  </m:sub>
                  <m:sup>
                    <m:r>
                      <w:rPr>
                        <w:rFonts w:ascii="Cambria Math" w:eastAsiaTheme="minorEastAsia" w:hAnsi="Cambria Math"/>
                      </w:rPr>
                      <m:t>T</m:t>
                    </m:r>
                  </m:sup>
                </m:sSubSup>
              </m:e>
            </m:d>
          </m:e>
          <m:sup>
            <m:r>
              <w:rPr>
                <w:rFonts w:ascii="Cambria Math" w:eastAsiaTheme="minorEastAsia" w:hAnsi="Cambria Math"/>
              </w:rPr>
              <m:t>T</m:t>
            </m:r>
          </m:sup>
        </m:sSup>
      </m:oMath>
      <w:r w:rsidR="009F27E1">
        <w:rPr>
          <w:rFonts w:eastAsiaTheme="minorEastAsia"/>
        </w:rPr>
        <w:t xml:space="preserve"> are divided in</w:t>
      </w:r>
      <w:r w:rsidR="00F63E1A">
        <w:rPr>
          <w:rFonts w:eastAsiaTheme="minorEastAsia"/>
        </w:rPr>
        <w:t>to</w:t>
      </w:r>
      <w:r w:rsidR="009F27E1">
        <w:rPr>
          <w:rFonts w:eastAsiaTheme="minorEastAsia"/>
        </w:rPr>
        <w:t xml:space="preserve"> observed </w:t>
      </w:r>
      <w:r w:rsidR="009312C7">
        <w:rPr>
          <w:rFonts w:eastAsiaTheme="minorEastAsia"/>
        </w:rPr>
        <w:t>predictor</w:t>
      </w:r>
      <w:r w:rsidR="00F63E1A">
        <w:rPr>
          <w:rFonts w:eastAsiaTheme="minorEastAsia"/>
        </w:rPr>
        <w:t xml:space="preserve"> features</w:t>
      </w:r>
      <w:r w:rsidR="009F27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i,t</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sup>
        </m:sSup>
      </m:oMath>
      <w:r w:rsidR="009F27E1">
        <w:rPr>
          <w:rFonts w:eastAsiaTheme="minorEastAsia"/>
        </w:rPr>
        <w:t xml:space="preserve"> which are measured at each step and are unknown </w:t>
      </w:r>
      <w:r w:rsidR="00812174">
        <w:rPr>
          <w:rFonts w:eastAsiaTheme="minorEastAsia"/>
        </w:rPr>
        <w:t xml:space="preserve">in the future </w:t>
      </w:r>
      <w:r w:rsidR="009F27E1">
        <w:rPr>
          <w:rFonts w:eastAsiaTheme="minorEastAsia"/>
        </w:rPr>
        <w:t xml:space="preserve">(i.e., oil rate, water rate, or BHP), and known </w:t>
      </w:r>
      <w:r w:rsidR="00256E1E">
        <w:rPr>
          <w:rFonts w:eastAsiaTheme="minorEastAsia"/>
        </w:rPr>
        <w:t>predictor</w:t>
      </w:r>
      <w:r w:rsidR="002D08AC">
        <w:rPr>
          <w:rFonts w:eastAsiaTheme="minorEastAsia"/>
        </w:rPr>
        <w:t xml:space="preserve"> features</w:t>
      </w:r>
      <w:r w:rsidR="009F27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up>
        </m:sSup>
      </m:oMath>
      <w:r w:rsidR="00D8201E">
        <w:rPr>
          <w:rFonts w:eastAsiaTheme="minorEastAsia"/>
        </w:rPr>
        <w:t>, which are known</w:t>
      </w:r>
      <w:r w:rsidR="00DB5423">
        <w:rPr>
          <w:rFonts w:eastAsiaTheme="minorEastAsia"/>
        </w:rPr>
        <w:t xml:space="preserve"> in the future</w:t>
      </w:r>
      <w:r w:rsidR="009F27E1">
        <w:rPr>
          <w:rFonts w:eastAsiaTheme="minorEastAsia"/>
        </w:rPr>
        <w:t xml:space="preserve"> (i.e., scheduled injection rate). Then each forecast using quantile regression is given by </w:t>
      </w:r>
      <w:r w:rsidR="003D31CE">
        <w:rPr>
          <w:rFonts w:eastAsiaTheme="minorEastAsia"/>
        </w:rPr>
        <w:t>E</w:t>
      </w:r>
      <w:r w:rsidR="009F27E1">
        <w:rPr>
          <w:rFonts w:eastAsiaTheme="minorEastAsia"/>
        </w:rPr>
        <w:t xml:space="preserve">quation </w:t>
      </w:r>
      <w:r w:rsidR="0043274B">
        <w:rPr>
          <w:rFonts w:eastAsiaTheme="minorEastAsia"/>
        </w:rPr>
        <w:fldChar w:fldCharType="begin"/>
      </w:r>
      <w:r w:rsidR="0043274B">
        <w:rPr>
          <w:rFonts w:eastAsiaTheme="minorEastAsia"/>
        </w:rPr>
        <w:instrText xml:space="preserve"> REF _Ref127267565 \h </w:instrText>
      </w:r>
      <w:r w:rsidR="0043274B">
        <w:rPr>
          <w:rFonts w:eastAsiaTheme="minorEastAsia"/>
        </w:rPr>
      </w:r>
      <w:r w:rsidR="0043274B">
        <w:rPr>
          <w:rFonts w:eastAsiaTheme="minorEastAsia"/>
        </w:rPr>
        <w:fldChar w:fldCharType="separate"/>
      </w:r>
      <w:r w:rsidR="00B11BFB">
        <w:rPr>
          <w:noProof/>
        </w:rPr>
        <w:t>4</w:t>
      </w:r>
      <w:r w:rsidR="0043274B">
        <w:rPr>
          <w:rFonts w:eastAsiaTheme="minorEastAsia"/>
        </w:rPr>
        <w:fldChar w:fldCharType="end"/>
      </w:r>
      <w:r w:rsidR="0043274B">
        <w:rPr>
          <w:rFonts w:eastAsiaTheme="minorEastAsia"/>
        </w:rPr>
        <w:t>:</w:t>
      </w:r>
    </w:p>
    <w:tbl>
      <w:tblPr>
        <w:tblStyle w:val="TableGrid"/>
        <w:tblW w:w="93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
        <w:gridCol w:w="8352"/>
        <w:gridCol w:w="614"/>
      </w:tblGrid>
      <w:tr w:rsidR="009F27E1" w:rsidRPr="00062A9C" w14:paraId="4B039EF2" w14:textId="77777777" w:rsidTr="0033329D">
        <w:tc>
          <w:tcPr>
            <w:tcW w:w="394" w:type="dxa"/>
          </w:tcPr>
          <w:p w14:paraId="16E51578" w14:textId="77777777" w:rsidR="009F27E1" w:rsidRPr="00062A9C" w:rsidRDefault="009F27E1" w:rsidP="0033329D">
            <w:pPr>
              <w:pStyle w:val="BodyText"/>
              <w:spacing w:before="18" w:line="480" w:lineRule="auto"/>
              <w:ind w:left="0" w:right="144"/>
              <w:jc w:val="center"/>
              <w:rPr>
                <w:rFonts w:asciiTheme="minorHAnsi" w:hAnsiTheme="minorHAnsi" w:cstheme="minorHAnsi"/>
                <w:w w:val="90"/>
              </w:rPr>
            </w:pPr>
          </w:p>
        </w:tc>
        <w:tc>
          <w:tcPr>
            <w:tcW w:w="8352" w:type="dxa"/>
          </w:tcPr>
          <w:p w14:paraId="6D755862" w14:textId="77777777" w:rsidR="009F27E1" w:rsidRPr="001F6DF8" w:rsidRDefault="00E259A7" w:rsidP="0033329D">
            <w:pPr>
              <w:spacing w:before="6"/>
              <w:rPr>
                <w:rFonts w:asciiTheme="minorHAnsi" w:eastAsia="Bookman Old Style" w:hAnsiTheme="minorHAnsi" w:cstheme="minorHAnsi"/>
                <w:szCs w:val="24"/>
              </w:rPr>
            </w:pPr>
            <m:oMathPara>
              <m:oMath>
                <m:sSub>
                  <m:sSubPr>
                    <m:ctrlPr>
                      <w:rPr>
                        <w:rFonts w:ascii="Cambria Math" w:eastAsia="Bookman Old Style" w:hAnsi="Cambria Math" w:cstheme="minorHAnsi"/>
                        <w:i/>
                        <w:szCs w:val="24"/>
                      </w:rPr>
                    </m:ctrlPr>
                  </m:sSubPr>
                  <m:e>
                    <m:acc>
                      <m:accPr>
                        <m:ctrlPr>
                          <w:rPr>
                            <w:rFonts w:ascii="Cambria Math" w:eastAsia="Bookman Old Style" w:hAnsi="Cambria Math" w:cstheme="minorHAnsi"/>
                            <w:i/>
                            <w:szCs w:val="24"/>
                          </w:rPr>
                        </m:ctrlPr>
                      </m:accPr>
                      <m:e>
                        <m:r>
                          <w:rPr>
                            <w:rFonts w:ascii="Cambria Math" w:eastAsia="Bookman Old Style" w:hAnsi="Cambria Math" w:cstheme="minorHAnsi"/>
                            <w:szCs w:val="24"/>
                          </w:rPr>
                          <m:t>y</m:t>
                        </m:r>
                      </m:e>
                    </m:acc>
                  </m:e>
                  <m:sub>
                    <m:r>
                      <w:rPr>
                        <w:rFonts w:ascii="Cambria Math" w:eastAsia="Bookman Old Style" w:hAnsi="Cambria Math" w:cstheme="minorHAnsi"/>
                        <w:szCs w:val="24"/>
                      </w:rPr>
                      <m:t>i</m:t>
                    </m:r>
                  </m:sub>
                </m:sSub>
                <m:d>
                  <m:dPr>
                    <m:ctrlPr>
                      <w:rPr>
                        <w:rFonts w:ascii="Cambria Math" w:eastAsia="Bookman Old Style" w:hAnsi="Cambria Math" w:cstheme="minorHAnsi"/>
                        <w:i/>
                        <w:szCs w:val="24"/>
                      </w:rPr>
                    </m:ctrlPr>
                  </m:dPr>
                  <m:e>
                    <m:r>
                      <w:rPr>
                        <w:rFonts w:ascii="Cambria Math" w:eastAsia="Bookman Old Style" w:hAnsi="Cambria Math" w:cstheme="minorHAnsi"/>
                        <w:szCs w:val="24"/>
                      </w:rPr>
                      <m:t>q,t,τ</m:t>
                    </m:r>
                  </m:e>
                </m:d>
                <m:r>
                  <w:rPr>
                    <w:rFonts w:ascii="Cambria Math" w:eastAsia="Bookman Old Style" w:hAnsi="Cambria Math" w:cstheme="minorHAnsi"/>
                    <w:szCs w:val="24"/>
                  </w:rPr>
                  <m:t>=</m:t>
                </m:r>
                <m:sSub>
                  <m:sSubPr>
                    <m:ctrlPr>
                      <w:rPr>
                        <w:rFonts w:ascii="Cambria Math" w:eastAsia="Bookman Old Style" w:hAnsi="Cambria Math" w:cstheme="minorHAnsi"/>
                        <w:i/>
                        <w:szCs w:val="24"/>
                      </w:rPr>
                    </m:ctrlPr>
                  </m:sSubPr>
                  <m:e>
                    <m:r>
                      <w:rPr>
                        <w:rFonts w:ascii="Cambria Math" w:eastAsia="Bookman Old Style" w:hAnsi="Cambria Math" w:cstheme="minorHAnsi"/>
                        <w:szCs w:val="24"/>
                      </w:rPr>
                      <m:t>f</m:t>
                    </m:r>
                  </m:e>
                  <m:sub>
                    <m:r>
                      <w:rPr>
                        <w:rFonts w:ascii="Cambria Math" w:eastAsia="Bookman Old Style" w:hAnsi="Cambria Math" w:cstheme="minorHAnsi"/>
                        <w:szCs w:val="24"/>
                      </w:rPr>
                      <m:t>q</m:t>
                    </m:r>
                  </m:sub>
                </m:sSub>
                <m:d>
                  <m:dPr>
                    <m:ctrlPr>
                      <w:rPr>
                        <w:rFonts w:ascii="Cambria Math" w:eastAsia="Bookman Old Style" w:hAnsi="Cambria Math" w:cstheme="minorHAnsi"/>
                        <w:i/>
                        <w:szCs w:val="24"/>
                      </w:rPr>
                    </m:ctrlPr>
                  </m:dPr>
                  <m:e>
                    <m:r>
                      <w:rPr>
                        <w:rFonts w:ascii="Cambria Math" w:eastAsia="Bookman Old Style" w:hAnsi="Cambria Math" w:cstheme="minorHAnsi"/>
                        <w:szCs w:val="24"/>
                      </w:rPr>
                      <m:t>τ,</m:t>
                    </m:r>
                    <m:sSub>
                      <m:sSubPr>
                        <m:ctrlPr>
                          <w:rPr>
                            <w:rFonts w:ascii="Cambria Math" w:eastAsia="Bookman Old Style" w:hAnsi="Cambria Math" w:cstheme="minorHAnsi"/>
                            <w:i/>
                            <w:szCs w:val="24"/>
                          </w:rPr>
                        </m:ctrlPr>
                      </m:sSubPr>
                      <m:e>
                        <m:r>
                          <w:rPr>
                            <w:rFonts w:ascii="Cambria Math" w:eastAsia="Bookman Old Style" w:hAnsi="Cambria Math" w:cstheme="minorHAnsi"/>
                            <w:szCs w:val="24"/>
                          </w:rPr>
                          <m:t>y</m:t>
                        </m:r>
                      </m:e>
                      <m:sub>
                        <m:r>
                          <w:rPr>
                            <w:rFonts w:ascii="Cambria Math" w:eastAsia="Bookman Old Style" w:hAnsi="Cambria Math" w:cstheme="minorHAnsi"/>
                            <w:szCs w:val="24"/>
                          </w:rPr>
                          <m:t>i,t-k:t</m:t>
                        </m:r>
                      </m:sub>
                    </m:sSub>
                    <m:r>
                      <w:rPr>
                        <w:rFonts w:ascii="Cambria Math" w:eastAsia="Bookman Old Style" w:hAnsi="Cambria Math" w:cstheme="minorHAnsi"/>
                        <w:szCs w:val="24"/>
                      </w:rPr>
                      <m:t>,</m:t>
                    </m:r>
                    <m:sSub>
                      <m:sSubPr>
                        <m:ctrlPr>
                          <w:rPr>
                            <w:rFonts w:ascii="Cambria Math" w:eastAsia="Bookman Old Style" w:hAnsi="Cambria Math" w:cstheme="minorHAnsi"/>
                            <w:i/>
                            <w:szCs w:val="24"/>
                          </w:rPr>
                        </m:ctrlPr>
                      </m:sSubPr>
                      <m:e>
                        <m:r>
                          <w:rPr>
                            <w:rFonts w:ascii="Cambria Math" w:eastAsia="Bookman Old Style" w:hAnsi="Cambria Math" w:cstheme="minorHAnsi"/>
                            <w:szCs w:val="24"/>
                          </w:rPr>
                          <m:t>z</m:t>
                        </m:r>
                      </m:e>
                      <m:sub>
                        <m:r>
                          <w:rPr>
                            <w:rFonts w:ascii="Cambria Math" w:eastAsia="Bookman Old Style" w:hAnsi="Cambria Math" w:cstheme="minorHAnsi"/>
                            <w:szCs w:val="24"/>
                          </w:rPr>
                          <m:t>i,t-k:t</m:t>
                        </m:r>
                      </m:sub>
                    </m:sSub>
                    <m:r>
                      <w:rPr>
                        <w:rFonts w:ascii="Cambria Math" w:eastAsia="Bookman Old Style" w:hAnsi="Cambria Math" w:cstheme="minorHAnsi"/>
                        <w:szCs w:val="24"/>
                      </w:rPr>
                      <m:t>,</m:t>
                    </m:r>
                    <m:sSub>
                      <m:sSubPr>
                        <m:ctrlPr>
                          <w:rPr>
                            <w:rFonts w:ascii="Cambria Math" w:eastAsia="Bookman Old Style" w:hAnsi="Cambria Math" w:cstheme="minorHAnsi"/>
                            <w:i/>
                            <w:szCs w:val="24"/>
                          </w:rPr>
                        </m:ctrlPr>
                      </m:sSubPr>
                      <m:e>
                        <m:r>
                          <w:rPr>
                            <w:rFonts w:ascii="Cambria Math" w:eastAsia="Bookman Old Style" w:hAnsi="Cambria Math" w:cstheme="minorHAnsi"/>
                            <w:szCs w:val="24"/>
                          </w:rPr>
                          <m:t>x</m:t>
                        </m:r>
                      </m:e>
                      <m:sub>
                        <m:r>
                          <w:rPr>
                            <w:rFonts w:ascii="Cambria Math" w:eastAsia="Bookman Old Style" w:hAnsi="Cambria Math" w:cstheme="minorHAnsi"/>
                            <w:szCs w:val="24"/>
                          </w:rPr>
                          <m:t>i,t-k:t+τ</m:t>
                        </m:r>
                      </m:sub>
                    </m:sSub>
                    <m:r>
                      <w:rPr>
                        <w:rFonts w:ascii="Cambria Math" w:eastAsia="Bookman Old Style" w:hAnsi="Cambria Math" w:cstheme="minorHAnsi"/>
                        <w:szCs w:val="24"/>
                      </w:rPr>
                      <m:t>,</m:t>
                    </m:r>
                    <m:sSub>
                      <m:sSubPr>
                        <m:ctrlPr>
                          <w:rPr>
                            <w:rFonts w:ascii="Cambria Math" w:eastAsia="Bookman Old Style" w:hAnsi="Cambria Math" w:cstheme="minorHAnsi"/>
                            <w:i/>
                            <w:szCs w:val="24"/>
                          </w:rPr>
                        </m:ctrlPr>
                      </m:sSubPr>
                      <m:e>
                        <m:r>
                          <w:rPr>
                            <w:rFonts w:ascii="Cambria Math" w:eastAsia="Bookman Old Style" w:hAnsi="Cambria Math" w:cstheme="minorHAnsi"/>
                            <w:szCs w:val="24"/>
                          </w:rPr>
                          <m:t>s</m:t>
                        </m:r>
                      </m:e>
                      <m:sub>
                        <m:r>
                          <w:rPr>
                            <w:rFonts w:ascii="Cambria Math" w:eastAsia="Bookman Old Style" w:hAnsi="Cambria Math" w:cstheme="minorHAnsi"/>
                            <w:szCs w:val="24"/>
                          </w:rPr>
                          <m:t>i</m:t>
                        </m:r>
                      </m:sub>
                    </m:sSub>
                  </m:e>
                </m:d>
                <m:r>
                  <w:rPr>
                    <w:rFonts w:ascii="Cambria Math" w:eastAsia="Bookman Old Style" w:hAnsi="Cambria Math" w:cstheme="minorHAnsi"/>
                    <w:szCs w:val="24"/>
                  </w:rPr>
                  <m:t>,</m:t>
                </m:r>
              </m:oMath>
            </m:oMathPara>
          </w:p>
        </w:tc>
        <w:tc>
          <w:tcPr>
            <w:tcW w:w="614" w:type="dxa"/>
          </w:tcPr>
          <w:p w14:paraId="49CCA5DB" w14:textId="77777777" w:rsidR="009F27E1" w:rsidRPr="00062A9C" w:rsidRDefault="00A139B9" w:rsidP="003D0579">
            <w:pPr>
              <w:pStyle w:val="Caption"/>
              <w:rPr>
                <w:rFonts w:cstheme="minorHAnsi"/>
                <w:i/>
                <w:szCs w:val="22"/>
              </w:rPr>
            </w:pPr>
            <w:fldSimple w:instr=" SEQ Equation \* ARABIC ">
              <w:bookmarkStart w:id="2" w:name="_Ref127267565"/>
              <w:r w:rsidR="00B11BFB">
                <w:rPr>
                  <w:noProof/>
                </w:rPr>
                <w:t>4</w:t>
              </w:r>
              <w:bookmarkEnd w:id="2"/>
            </w:fldSimple>
          </w:p>
        </w:tc>
      </w:tr>
    </w:tbl>
    <w:p w14:paraId="64F58254" w14:textId="77777777" w:rsidR="00DD1EF4" w:rsidRDefault="009F27E1" w:rsidP="00D05A0D">
      <w:pPr>
        <w:rPr>
          <w:rFonts w:eastAsiaTheme="minorEastAsia"/>
          <w:szCs w:val="24"/>
        </w:rPr>
      </w:pPr>
      <w:r>
        <w:t xml:space="preserve">Where </w:t>
      </w:r>
      <m:oMath>
        <m:sSub>
          <m:sSubPr>
            <m:ctrlPr>
              <w:rPr>
                <w:rFonts w:ascii="Cambria Math" w:eastAsia="Bookman Old Style" w:hAnsi="Cambria Math" w:cstheme="minorHAnsi"/>
                <w:i/>
                <w:szCs w:val="24"/>
              </w:rPr>
            </m:ctrlPr>
          </m:sSubPr>
          <m:e>
            <m:acc>
              <m:accPr>
                <m:ctrlPr>
                  <w:rPr>
                    <w:rFonts w:ascii="Cambria Math" w:eastAsia="Bookman Old Style" w:hAnsi="Cambria Math" w:cstheme="minorHAnsi"/>
                    <w:i/>
                    <w:szCs w:val="24"/>
                  </w:rPr>
                </m:ctrlPr>
              </m:accPr>
              <m:e>
                <m:r>
                  <w:rPr>
                    <w:rFonts w:ascii="Cambria Math" w:eastAsia="Bookman Old Style" w:hAnsi="Cambria Math" w:cstheme="minorHAnsi"/>
                    <w:szCs w:val="24"/>
                  </w:rPr>
                  <m:t>y</m:t>
                </m:r>
              </m:e>
            </m:acc>
          </m:e>
          <m:sub>
            <m:r>
              <w:rPr>
                <w:rFonts w:ascii="Cambria Math" w:eastAsia="Bookman Old Style" w:hAnsi="Cambria Math" w:cstheme="minorHAnsi"/>
                <w:szCs w:val="24"/>
              </w:rPr>
              <m:t>i</m:t>
            </m:r>
          </m:sub>
        </m:sSub>
        <m:d>
          <m:dPr>
            <m:ctrlPr>
              <w:rPr>
                <w:rFonts w:ascii="Cambria Math" w:eastAsia="Bookman Old Style" w:hAnsi="Cambria Math" w:cstheme="minorHAnsi"/>
                <w:i/>
                <w:szCs w:val="24"/>
              </w:rPr>
            </m:ctrlPr>
          </m:dPr>
          <m:e>
            <m:r>
              <w:rPr>
                <w:rFonts w:ascii="Cambria Math" w:eastAsia="Bookman Old Style" w:hAnsi="Cambria Math" w:cstheme="minorHAnsi"/>
                <w:szCs w:val="24"/>
              </w:rPr>
              <m:t>q,t,τ</m:t>
            </m:r>
          </m:e>
        </m:d>
      </m:oMath>
      <w:r>
        <w:rPr>
          <w:rFonts w:eastAsiaTheme="minorEastAsia"/>
          <w:szCs w:val="24"/>
        </w:rPr>
        <w:t xml:space="preserve"> is the </w:t>
      </w:r>
      <m:oMath>
        <m:r>
          <w:rPr>
            <w:rFonts w:ascii="Cambria Math" w:eastAsiaTheme="minorEastAsia" w:hAnsi="Cambria Math"/>
            <w:szCs w:val="24"/>
          </w:rPr>
          <m:t>q</m:t>
        </m:r>
      </m:oMath>
      <w:r>
        <w:rPr>
          <w:rFonts w:eastAsiaTheme="minorEastAsia"/>
          <w:szCs w:val="24"/>
        </w:rPr>
        <w:t xml:space="preserve">th </w:t>
      </w:r>
      <w:r w:rsidR="00B7091C">
        <w:rPr>
          <w:rFonts w:eastAsiaTheme="minorEastAsia"/>
          <w:szCs w:val="24"/>
        </w:rPr>
        <w:t>forecast</w:t>
      </w:r>
      <w:r>
        <w:rPr>
          <w:rFonts w:eastAsiaTheme="minorEastAsia"/>
          <w:szCs w:val="24"/>
        </w:rPr>
        <w:t xml:space="preserve">ed quantile of the </w:t>
      </w:r>
      <m:oMath>
        <m:r>
          <w:rPr>
            <w:rFonts w:ascii="Cambria Math" w:eastAsiaTheme="minorEastAsia" w:hAnsi="Cambria Math"/>
            <w:szCs w:val="24"/>
          </w:rPr>
          <m:t>τ</m:t>
        </m:r>
      </m:oMath>
      <w:r>
        <w:rPr>
          <w:rFonts w:eastAsiaTheme="minorEastAsia"/>
          <w:szCs w:val="24"/>
        </w:rPr>
        <w:t xml:space="preserve"> step forecast at time </w:t>
      </w:r>
      <m:oMath>
        <m:r>
          <w:rPr>
            <w:rFonts w:ascii="Cambria Math" w:eastAsiaTheme="minorEastAsia" w:hAnsi="Cambria Math"/>
            <w:szCs w:val="24"/>
          </w:rPr>
          <m:t>t</m:t>
        </m:r>
      </m:oMath>
      <w:r>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f</m:t>
            </m:r>
          </m:e>
          <m:sub>
            <m:r>
              <w:rPr>
                <w:rFonts w:ascii="Cambria Math" w:eastAsiaTheme="minorEastAsia" w:hAnsi="Cambria Math"/>
                <w:szCs w:val="24"/>
              </w:rPr>
              <m:t>q</m:t>
            </m:r>
          </m:sub>
        </m:sSub>
      </m:oMath>
      <w:r>
        <w:rPr>
          <w:rFonts w:eastAsiaTheme="minorEastAsia"/>
          <w:szCs w:val="24"/>
        </w:rPr>
        <w:t xml:space="preserve"> is the</w:t>
      </w:r>
      <w:r w:rsidR="00540AFE">
        <w:rPr>
          <w:rFonts w:eastAsiaTheme="minorEastAsia"/>
          <w:szCs w:val="24"/>
        </w:rPr>
        <w:t xml:space="preserve"> TFT</w:t>
      </w:r>
      <w:r>
        <w:rPr>
          <w:rFonts w:eastAsiaTheme="minorEastAsia"/>
          <w:szCs w:val="24"/>
        </w:rPr>
        <w:t xml:space="preserve"> model</w:t>
      </w:r>
      <w:r w:rsidR="001D4D59">
        <w:rPr>
          <w:rFonts w:eastAsiaTheme="minorEastAsia"/>
          <w:szCs w:val="24"/>
        </w:rPr>
        <w:t>,</w:t>
      </w:r>
      <w:r>
        <w:rPr>
          <w:rFonts w:eastAsiaTheme="minorEastAsia"/>
          <w:szCs w:val="24"/>
        </w:rPr>
        <w:t xml:space="preserve"> and the sub-index </w:t>
      </w:r>
      <m:oMath>
        <m:r>
          <w:rPr>
            <w:rFonts w:ascii="Cambria Math" w:eastAsiaTheme="minorEastAsia" w:hAnsi="Cambria Math"/>
            <w:szCs w:val="24"/>
          </w:rPr>
          <m:t>k</m:t>
        </m:r>
      </m:oMath>
      <w:r>
        <w:rPr>
          <w:rFonts w:eastAsiaTheme="minorEastAsia"/>
          <w:szCs w:val="24"/>
        </w:rPr>
        <w:t xml:space="preserve"> is a finite look-back window.</w:t>
      </w:r>
    </w:p>
    <w:p w14:paraId="3995B73E" w14:textId="77777777" w:rsidR="00D01A2C" w:rsidRDefault="00D378B8" w:rsidP="00B9063F">
      <w:r>
        <w:t xml:space="preserve">The Temporal Fusion Transformer (TFT) uses an encoder-decoder </w:t>
      </w:r>
      <w:r w:rsidR="000D762B">
        <w:t>architecture</w:t>
      </w:r>
      <w:r>
        <w:t>.</w:t>
      </w:r>
      <w:r w:rsidR="00B9063F">
        <w:t xml:space="preserve"> The encoder part of the TFT takes the time series data and processes it in a sequence of encoder layers. Each encoder</w:t>
      </w:r>
      <w:r w:rsidR="00CA73BE">
        <w:t xml:space="preserve"> and decoder</w:t>
      </w:r>
      <w:r w:rsidR="00B9063F">
        <w:t xml:space="preserve"> layer has multiple self-attention heads that attend</w:t>
      </w:r>
      <w:r w:rsidR="00995AF8">
        <w:t xml:space="preserve"> </w:t>
      </w:r>
      <w:r w:rsidR="00B9063F">
        <w:t>to different parts of the input sequence. The output of the encoder is a set of hidden states, one for each time step in the input sequence</w:t>
      </w:r>
      <w:r w:rsidR="009007E8">
        <w:t xml:space="preserve"> </w:t>
      </w:r>
      <w:r w:rsidR="00514F92">
        <w:t>(Lim et al., 2021)</w:t>
      </w:r>
      <w:r w:rsidR="00B9063F">
        <w:t xml:space="preserve">. </w:t>
      </w:r>
      <w:r w:rsidR="001568FC">
        <w:t xml:space="preserve">A hidden state </w:t>
      </w:r>
      <w:r w:rsidR="00DC3FA3">
        <w:t xml:space="preserve">is a vector of values </w:t>
      </w:r>
      <w:r w:rsidR="00B174AF">
        <w:t>representing a sequence</w:t>
      </w:r>
      <w:r w:rsidR="00094A27">
        <w:t xml:space="preserve"> that</w:t>
      </w:r>
      <w:r w:rsidR="00B174AF">
        <w:t xml:space="preserve"> </w:t>
      </w:r>
      <w:r w:rsidR="00094A27">
        <w:t>contains</w:t>
      </w:r>
      <w:r w:rsidR="00B9063F">
        <w:t xml:space="preserve"> information about the temporal relationships between the</w:t>
      </w:r>
      <w:r w:rsidR="00B174AF">
        <w:t xml:space="preserve"> </w:t>
      </w:r>
      <w:r w:rsidR="00551350">
        <w:t>predictor</w:t>
      </w:r>
      <w:r w:rsidR="00B9063F">
        <w:t xml:space="preserve"> </w:t>
      </w:r>
      <w:r w:rsidR="001B39BA">
        <w:t>features</w:t>
      </w:r>
      <w:r w:rsidR="00F77F9E">
        <w:t xml:space="preserve"> (</w:t>
      </w:r>
      <w:proofErr w:type="spellStart"/>
      <w:r w:rsidR="00F11FF1">
        <w:t>Jurafsky</w:t>
      </w:r>
      <w:proofErr w:type="spellEnd"/>
      <w:r w:rsidR="00F11FF1">
        <w:t xml:space="preserve"> and Martin</w:t>
      </w:r>
      <w:r w:rsidR="00B76534">
        <w:t>, 2009</w:t>
      </w:r>
      <w:r w:rsidR="00F77F9E">
        <w:t>)</w:t>
      </w:r>
      <w:r w:rsidR="00345BF4">
        <w:t>. These hidden states are</w:t>
      </w:r>
      <w:r w:rsidR="00B9063F">
        <w:t xml:space="preserve"> </w:t>
      </w:r>
      <w:r w:rsidR="00F90EB8">
        <w:t>the input</w:t>
      </w:r>
      <w:r w:rsidR="00345BF4">
        <w:t>s</w:t>
      </w:r>
      <w:r w:rsidR="00F90EB8">
        <w:t xml:space="preserve"> of </w:t>
      </w:r>
      <w:r w:rsidR="00B9063F">
        <w:t>the decoder part of the TFT.</w:t>
      </w:r>
      <w:r w:rsidR="00E171BA">
        <w:t xml:space="preserve"> </w:t>
      </w:r>
    </w:p>
    <w:p w14:paraId="3FA3A07D" w14:textId="77777777" w:rsidR="00D378B8" w:rsidRPr="009F27E1" w:rsidRDefault="00B9063F" w:rsidP="00B9063F">
      <w:pPr>
        <w:rPr>
          <w:rFonts w:eastAsiaTheme="minorEastAsia"/>
          <w:szCs w:val="24"/>
        </w:rPr>
      </w:pPr>
      <w:r>
        <w:t xml:space="preserve">The decoder is responsible for generating the forecasts. It consists of a sequence of decoder layers. The decoder </w:t>
      </w:r>
      <w:r w:rsidR="009648D8">
        <w:t xml:space="preserve">input </w:t>
      </w:r>
      <w:r w:rsidR="00817484">
        <w:t>is</w:t>
      </w:r>
      <w:r>
        <w:t xml:space="preserve"> hidden states from the encoder and processes them using self-attention</w:t>
      </w:r>
      <w:r w:rsidR="00817484">
        <w:t>.</w:t>
      </w:r>
      <w:r w:rsidR="00290BB4">
        <w:t xml:space="preserve"> T</w:t>
      </w:r>
      <w:r>
        <w:t xml:space="preserve">he output of the decoder is </w:t>
      </w:r>
      <w:r w:rsidR="00290BB4">
        <w:t>the input of</w:t>
      </w:r>
      <w:r>
        <w:t xml:space="preserve"> a feedforward neural network that generates the final forecasts for each time step in the forecast</w:t>
      </w:r>
      <w:r w:rsidR="00D40C82">
        <w:t xml:space="preserve"> (</w:t>
      </w:r>
      <w:proofErr w:type="spellStart"/>
      <w:r w:rsidR="001E2B83">
        <w:t>Sutskever</w:t>
      </w:r>
      <w:proofErr w:type="spellEnd"/>
      <w:r w:rsidR="00DB3EB2">
        <w:t xml:space="preserve"> et al., 2014</w:t>
      </w:r>
      <w:r w:rsidR="00D40C82">
        <w:t>)</w:t>
      </w:r>
      <w:r w:rsidR="008421A4">
        <w:t>.</w:t>
      </w:r>
    </w:p>
    <w:p w14:paraId="0350A285" w14:textId="77777777" w:rsidR="00F87570" w:rsidRDefault="00B66FEA" w:rsidP="002F56CE">
      <w:r>
        <w:lastRenderedPageBreak/>
        <w:t xml:space="preserve">The TFT </w:t>
      </w:r>
      <w:r w:rsidR="00EE1ECF">
        <w:t xml:space="preserve">proposes </w:t>
      </w:r>
      <w:r w:rsidR="000D2CC3">
        <w:t>a</w:t>
      </w:r>
      <w:r w:rsidR="0044687B">
        <w:t xml:space="preserve"> modified multi-head attention</w:t>
      </w:r>
      <w:r w:rsidR="00091146">
        <w:t xml:space="preserve"> given by </w:t>
      </w:r>
      <w:r w:rsidR="003D31CE">
        <w:t>E</w:t>
      </w:r>
      <w:r w:rsidR="00091146">
        <w:t>quation 5</w:t>
      </w:r>
      <w:r w:rsidR="007C602D">
        <w:t xml:space="preserve">, </w:t>
      </w:r>
      <w:r w:rsidR="00467451">
        <w:t>where the multi-head attention share</w:t>
      </w:r>
      <w:r w:rsidR="009007E8">
        <w:t>s</w:t>
      </w:r>
      <w:r w:rsidR="00467451">
        <w:t xml:space="preserve"> values in each head by aggregati</w:t>
      </w:r>
      <w:r w:rsidR="005534BF">
        <w:t>ng</w:t>
      </w:r>
      <w:r w:rsidR="00467451">
        <w:t xml:space="preserve"> all</w:t>
      </w:r>
      <w:r w:rsidR="00016D45">
        <w:t xml:space="preserve"> attention</w:t>
      </w:r>
      <w:r w:rsidR="00467451">
        <w:t xml:space="preserve"> heads</w:t>
      </w:r>
      <w:r w:rsidR="00016D45">
        <w:t xml:space="preserve">, </w:t>
      </w:r>
      <m:oMath>
        <m:r>
          <w:rPr>
            <w:rFonts w:ascii="Cambria Math" w:hAnsi="Cambria Math"/>
          </w:rPr>
          <m:t>m</m:t>
        </m:r>
      </m:oMath>
      <w:r w:rsidR="00F97F48">
        <w:rPr>
          <w:rFonts w:eastAsiaTheme="minorEastAsia"/>
        </w:rPr>
        <w:t xml:space="preserve"> </w:t>
      </w:r>
      <w:r w:rsidR="004024A2" w:rsidRPr="00062A9C">
        <w:t>(Lim et al., 2021)</w:t>
      </w:r>
      <w:r w:rsidR="004024A2">
        <w:t>.</w:t>
      </w:r>
      <w:r w:rsidR="00647AC0">
        <w:t xml:space="preserve"> This representation is necessary because attention weights alone are not indicative of a particular </w:t>
      </w:r>
      <w:r w:rsidR="00551350">
        <w:t>predictor</w:t>
      </w:r>
      <w:r w:rsidR="00647AC0">
        <w:t xml:space="preserve"> feature importance (Tay et al., 2021).</w:t>
      </w:r>
    </w:p>
    <w:tbl>
      <w:tblPr>
        <w:tblStyle w:val="TableGrid"/>
        <w:tblW w:w="93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
        <w:gridCol w:w="8352"/>
        <w:gridCol w:w="614"/>
      </w:tblGrid>
      <w:tr w:rsidR="00091146" w:rsidRPr="00062A9C" w14:paraId="20852E00" w14:textId="77777777" w:rsidTr="0033329D">
        <w:tc>
          <w:tcPr>
            <w:tcW w:w="394" w:type="dxa"/>
          </w:tcPr>
          <w:p w14:paraId="47778A41" w14:textId="77777777" w:rsidR="00091146" w:rsidRPr="00062A9C" w:rsidRDefault="00091146" w:rsidP="0033329D">
            <w:pPr>
              <w:pStyle w:val="BodyText"/>
              <w:spacing w:before="18" w:line="480" w:lineRule="auto"/>
              <w:ind w:left="0" w:right="144"/>
              <w:jc w:val="center"/>
              <w:rPr>
                <w:rFonts w:asciiTheme="minorHAnsi" w:hAnsiTheme="minorHAnsi" w:cstheme="minorHAnsi"/>
                <w:w w:val="90"/>
              </w:rPr>
            </w:pPr>
          </w:p>
        </w:tc>
        <w:tc>
          <w:tcPr>
            <w:tcW w:w="8352" w:type="dxa"/>
          </w:tcPr>
          <w:p w14:paraId="4FFFB376" w14:textId="77777777" w:rsidR="00091146" w:rsidRPr="001F6DF8" w:rsidRDefault="008115D1" w:rsidP="0033329D">
            <w:pPr>
              <w:spacing w:before="6"/>
              <w:rPr>
                <w:rFonts w:asciiTheme="minorHAnsi" w:eastAsia="Bookman Old Style" w:hAnsiTheme="minorHAnsi" w:cstheme="minorHAnsi"/>
                <w:szCs w:val="24"/>
              </w:rPr>
            </w:pPr>
            <w:proofErr w:type="spellStart"/>
            <m:oMathPara>
              <m:oMath>
                <m:r>
                  <m:rPr>
                    <m:nor/>
                  </m:rPr>
                  <w:rPr>
                    <w:rFonts w:ascii="Cambria Math" w:hAnsi="Cambria Math" w:cstheme="minorHAnsi"/>
                  </w:rPr>
                  <m:t>InterpretableMultiHead</m:t>
                </m:r>
                <w:proofErr w:type="spellEnd"/>
                <m:d>
                  <m:dPr>
                    <m:ctrlPr>
                      <w:rPr>
                        <w:rFonts w:ascii="Cambria Math" w:hAnsi="Cambria Math" w:cstheme="minorHAnsi"/>
                        <w:i/>
                        <w:iCs/>
                      </w:rPr>
                    </m:ctrlPr>
                  </m:dPr>
                  <m:e>
                    <m:r>
                      <w:rPr>
                        <w:rFonts w:ascii="Cambria Math" w:hAnsi="Cambria Math"/>
                      </w:rPr>
                      <m:t>Q,K,V</m:t>
                    </m:r>
                  </m:e>
                </m:d>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ctrlPr>
                          <w:rPr>
                            <w:rFonts w:ascii="Cambria Math" w:eastAsia="Bookman Old Style" w:hAnsi="Cambria Math" w:cs="Calibri"/>
                            <w:i/>
                          </w:rPr>
                        </m:ctrlPr>
                      </m:num>
                      <m:den>
                        <m:sSub>
                          <m:sSubPr>
                            <m:ctrlPr>
                              <w:rPr>
                                <w:rFonts w:ascii="Cambria Math" w:eastAsia="Bookman Old Style" w:hAnsi="Cambria Math" w:cs="Calibri"/>
                                <w:i/>
                              </w:rPr>
                            </m:ctrlPr>
                          </m:sSubPr>
                          <m:e>
                            <m:r>
                              <w:rPr>
                                <w:rFonts w:ascii="Cambria Math" w:eastAsia="Bookman Old Style" w:hAnsi="Cambria Math" w:cs="Calibri"/>
                              </w:rPr>
                              <m:t>m</m:t>
                            </m:r>
                          </m:e>
                          <m:sub>
                            <m:r>
                              <w:rPr>
                                <w:rFonts w:ascii="Cambria Math" w:eastAsia="Bookman Old Style" w:hAnsi="Cambria Math" w:cs="Calibri"/>
                              </w:rPr>
                              <m:t>O</m:t>
                            </m:r>
                          </m:sub>
                        </m:sSub>
                      </m:den>
                    </m:f>
                    <m:nary>
                      <m:naryPr>
                        <m:chr m:val="∑"/>
                        <m:ctrlPr>
                          <w:rPr>
                            <w:rFonts w:ascii="Cambria Math" w:hAnsi="Cambria Math" w:cstheme="minorHAnsi"/>
                            <w:i/>
                          </w:rPr>
                        </m:ctrlPr>
                      </m:naryPr>
                      <m:sub>
                        <m:r>
                          <w:rPr>
                            <w:rFonts w:ascii="Cambria Math" w:hAnsi="Cambria Math" w:cstheme="minorHAnsi"/>
                          </w:rPr>
                          <m:t>1</m:t>
                        </m:r>
                      </m:sub>
                      <m:sup>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m:t>
                            </m:r>
                          </m:sub>
                        </m:sSub>
                      </m:sup>
                      <m:e>
                        <m:r>
                          <m:rPr>
                            <m:nor/>
                          </m:rPr>
                          <w:rPr>
                            <w:rFonts w:ascii="Cambria Math" w:hAnsi="Cambria Math" w:cstheme="minorHAnsi"/>
                          </w:rPr>
                          <m:t>Attention</m:t>
                        </m:r>
                        <m:d>
                          <m:dPr>
                            <m:ctrlPr>
                              <w:rPr>
                                <w:rFonts w:ascii="Cambria Math" w:hAnsi="Cambria Math" w:cstheme="minorHAnsi"/>
                                <w:i/>
                                <w:iCs/>
                              </w:rPr>
                            </m:ctrlPr>
                          </m:dPr>
                          <m:e>
                            <m:r>
                              <w:rPr>
                                <w:rFonts w:ascii="Cambria Math" w:hAnsi="Cambria Math"/>
                              </w:rPr>
                              <m:t>Q,K,V</m:t>
                            </m:r>
                          </m:e>
                        </m:d>
                      </m:e>
                    </m:nary>
                  </m:e>
                </m:d>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O</m:t>
                    </m:r>
                  </m:sup>
                </m:sSup>
                <m:r>
                  <w:rPr>
                    <w:rFonts w:ascii="Cambria Math" w:eastAsia="Bookman Old Style" w:hAnsi="Cambria Math" w:cstheme="minorHAnsi"/>
                    <w:szCs w:val="24"/>
                  </w:rPr>
                  <m:t>,</m:t>
                </m:r>
              </m:oMath>
            </m:oMathPara>
          </w:p>
        </w:tc>
        <w:tc>
          <w:tcPr>
            <w:tcW w:w="614" w:type="dxa"/>
          </w:tcPr>
          <w:p w14:paraId="1F948A2A" w14:textId="77777777" w:rsidR="00091146" w:rsidRPr="00062A9C" w:rsidRDefault="00A139B9" w:rsidP="003D0579">
            <w:pPr>
              <w:pStyle w:val="Caption"/>
              <w:rPr>
                <w:rFonts w:cstheme="minorHAnsi"/>
                <w:i/>
                <w:szCs w:val="22"/>
              </w:rPr>
            </w:pPr>
            <w:fldSimple w:instr=" SEQ Equation \* ARABIC ">
              <w:r w:rsidR="00B11BFB">
                <w:rPr>
                  <w:noProof/>
                </w:rPr>
                <w:t>5</w:t>
              </w:r>
            </w:fldSimple>
          </w:p>
        </w:tc>
      </w:tr>
    </w:tbl>
    <w:p w14:paraId="30426714" w14:textId="58BD15DB" w:rsidR="00784D6B" w:rsidRDefault="002C67F4" w:rsidP="002F56CE">
      <w:r>
        <w:t>Machine learning-based surrogate flow models have demonstrated low forecast error</w:t>
      </w:r>
      <w:r w:rsidR="00805A19">
        <w:t>s</w:t>
      </w:r>
      <w:r>
        <w:t xml:space="preserve"> during testing. However, these models</w:t>
      </w:r>
      <w:r w:rsidR="00392CF7">
        <w:t xml:space="preserve"> are deterministic,</w:t>
      </w:r>
      <w:r w:rsidR="00673DAA">
        <w:t xml:space="preserve"> do not include </w:t>
      </w:r>
      <w:r w:rsidR="00412B72">
        <w:t>critical</w:t>
      </w:r>
      <w:r w:rsidR="00673DAA">
        <w:t xml:space="preserve"> static </w:t>
      </w:r>
      <w:r w:rsidR="000B4483">
        <w:t>predictor features</w:t>
      </w:r>
      <w:r w:rsidR="00412B72">
        <w:t>,</w:t>
      </w:r>
      <w:r w:rsidR="00392CF7">
        <w:t xml:space="preserve"> are</w:t>
      </w:r>
      <w:r>
        <w:t xml:space="preserve"> only </w:t>
      </w:r>
      <w:r w:rsidR="00ED1608">
        <w:t>able to analy</w:t>
      </w:r>
      <w:r w:rsidR="00562544">
        <w:t>z</w:t>
      </w:r>
      <w:r w:rsidR="00ED1608">
        <w:t xml:space="preserve">e one well at a time, and </w:t>
      </w:r>
      <w:r w:rsidR="00BC51DE">
        <w:t xml:space="preserve">are </w:t>
      </w:r>
      <w:r w:rsidR="00ED1608">
        <w:t>prone to autocorrelation, leading</w:t>
      </w:r>
      <w:r>
        <w:t xml:space="preserve"> to shifted forecasts due to </w:t>
      </w:r>
      <w:r w:rsidR="00E50D23">
        <w:t xml:space="preserve">high </w:t>
      </w:r>
      <w:r>
        <w:t>correlat</w:t>
      </w:r>
      <w:r w:rsidR="00E50D23">
        <w:t>ion with the most recent available</w:t>
      </w:r>
      <w:r>
        <w:t xml:space="preserve"> observations at different times (Werneck, R. de O., 2022; Li et al., 2022).</w:t>
      </w:r>
      <w:r w:rsidR="00EF44CB">
        <w:t xml:space="preserve"> F</w:t>
      </w:r>
      <w:r>
        <w:t xml:space="preserve">urthermore, the lack of interpretability of results reduces confidence </w:t>
      </w:r>
      <w:r w:rsidR="002045E4">
        <w:t>in</w:t>
      </w:r>
      <w:r>
        <w:t xml:space="preserve"> broader application</w:t>
      </w:r>
      <w:r w:rsidR="00284658">
        <w:t>s</w:t>
      </w:r>
      <w:r w:rsidR="00E50D23">
        <w:t xml:space="preserve"> for development decision support</w:t>
      </w:r>
      <w:r>
        <w:t xml:space="preserve"> (</w:t>
      </w:r>
      <w:proofErr w:type="spellStart"/>
      <w:r>
        <w:t>Gurina</w:t>
      </w:r>
      <w:proofErr w:type="spellEnd"/>
      <w:r>
        <w:t xml:space="preserve"> et al., 2022).</w:t>
      </w:r>
    </w:p>
    <w:p w14:paraId="7E794321" w14:textId="0F1AE7B2" w:rsidR="00EF0B8E" w:rsidRDefault="00EF0B8E" w:rsidP="002F56CE">
      <w:r>
        <w:t>To improve current surrogate flow model approaches for forecasting, we</w:t>
      </w:r>
      <w:r w:rsidRPr="00062A9C">
        <w:t xml:space="preserve"> propose a n</w:t>
      </w:r>
      <w:r>
        <w:t>ovel</w:t>
      </w:r>
      <w:r w:rsidRPr="00062A9C">
        <w:t xml:space="preserve"> and general workflow to generate a TFT-based surrogate flow model</w:t>
      </w:r>
      <w:r>
        <w:t>. Through the problem formulation</w:t>
      </w:r>
      <w:r w:rsidR="00346793">
        <w:t>,</w:t>
      </w:r>
      <w:r>
        <w:t xml:space="preserve"> we include static (i.e., depth, position) and </w:t>
      </w:r>
      <w:r w:rsidR="00E50D23">
        <w:t>dynamic</w:t>
      </w:r>
      <w:r>
        <w:t xml:space="preserve"> (i.e., injection rate, operational constraints) </w:t>
      </w:r>
      <w:r w:rsidR="00551350">
        <w:t>predictor</w:t>
      </w:r>
      <w:r>
        <w:t xml:space="preserve"> features</w:t>
      </w:r>
      <w:r w:rsidR="00061371">
        <w:t>,</w:t>
      </w:r>
      <w:r>
        <w:t xml:space="preserve"> forecast across multiple wells</w:t>
      </w:r>
      <w:r w:rsidR="00346793">
        <w:t>,</w:t>
      </w:r>
      <w:r w:rsidR="00AA3A7C">
        <w:t xml:space="preserve"> and uncertainty estimation through the quantile loss function</w:t>
      </w:r>
      <w:r>
        <w:t>. We propose two static predictor features</w:t>
      </w:r>
      <w:r w:rsidR="0037556E">
        <w:t xml:space="preserve"> to include location</w:t>
      </w:r>
      <w:r w:rsidR="00346793">
        <w:t>,</w:t>
      </w:r>
      <w:r>
        <w:t xml:space="preserve"> and to improve model interpretability, we calculate SHAP values to relate forecasts to attention head weights at each time step. </w:t>
      </w:r>
      <w:r w:rsidR="001D2EF8">
        <w:t>Our proposed</w:t>
      </w:r>
      <w:r w:rsidRPr="00062A9C">
        <w:t xml:space="preserve"> TFT</w:t>
      </w:r>
      <w:r w:rsidR="007F2585">
        <w:t>-based surrogate flow model</w:t>
      </w:r>
      <w:r w:rsidRPr="00062A9C">
        <w:t xml:space="preserve"> perform</w:t>
      </w:r>
      <w:r w:rsidR="007F2585">
        <w:t>s</w:t>
      </w:r>
      <w:r w:rsidRPr="00062A9C">
        <w:t xml:space="preserve"> </w:t>
      </w:r>
      <w:r>
        <w:t>forecast</w:t>
      </w:r>
      <w:r w:rsidR="00F2340E">
        <w:t>s</w:t>
      </w:r>
      <w:r>
        <w:t xml:space="preserve"> of oil and water</w:t>
      </w:r>
      <w:r w:rsidRPr="00062A9C">
        <w:t xml:space="preserve"> </w:t>
      </w:r>
      <w:r>
        <w:t xml:space="preserve">rate and injection pressure, provides </w:t>
      </w:r>
      <w:proofErr w:type="gramStart"/>
      <w:r>
        <w:t>interpretability</w:t>
      </w:r>
      <w:proofErr w:type="gramEnd"/>
      <w:r>
        <w:t xml:space="preserve"> and</w:t>
      </w:r>
      <w:r w:rsidRPr="00062A9C">
        <w:t xml:space="preserve"> </w:t>
      </w:r>
      <w:r>
        <w:t xml:space="preserve">allows the identification of </w:t>
      </w:r>
      <w:r w:rsidRPr="00062A9C">
        <w:t xml:space="preserve">persistent temporal </w:t>
      </w:r>
      <w:r w:rsidRPr="00062A9C">
        <w:lastRenderedPageBreak/>
        <w:t xml:space="preserve">patterns, </w:t>
      </w:r>
      <w:r w:rsidR="00551350">
        <w:t>predictor</w:t>
      </w:r>
      <w:r>
        <w:t xml:space="preserve"> feature</w:t>
      </w:r>
      <w:r w:rsidRPr="00062A9C">
        <w:t xml:space="preserve"> importance, and detect</w:t>
      </w:r>
      <w:r>
        <w:t>ion of</w:t>
      </w:r>
      <w:r w:rsidRPr="00062A9C">
        <w:t xml:space="preserve"> significant events during forecasting</w:t>
      </w:r>
      <w:r w:rsidR="005B6D0B">
        <w:t>.</w:t>
      </w:r>
    </w:p>
    <w:p w14:paraId="0D11332A" w14:textId="4604408F" w:rsidR="002F56CE" w:rsidRPr="00062A9C" w:rsidRDefault="00137A32" w:rsidP="0094358B">
      <w:r w:rsidRPr="00062A9C">
        <w:t xml:space="preserve">The methodology section </w:t>
      </w:r>
      <w:r w:rsidR="004B51FA">
        <w:t>presents our novel workflow to construct a TFT-based surrogate flow model,</w:t>
      </w:r>
      <w:r w:rsidR="003D31CE">
        <w:t xml:space="preserve"> </w:t>
      </w:r>
      <w:r w:rsidR="00F60295">
        <w:t>the proposed location-based predictor features, the evaluation metrics</w:t>
      </w:r>
      <w:r w:rsidR="00D4014B" w:rsidRPr="00062A9C">
        <w:t xml:space="preserve">, </w:t>
      </w:r>
      <w:r w:rsidR="00AE3557" w:rsidRPr="00062A9C">
        <w:t xml:space="preserve">the </w:t>
      </w:r>
      <w:r w:rsidR="00973FDF">
        <w:t>training</w:t>
      </w:r>
      <w:r w:rsidR="00AB3D23">
        <w:t xml:space="preserve">, </w:t>
      </w:r>
      <w:r w:rsidR="00973FDF">
        <w:t>testing</w:t>
      </w:r>
      <w:r w:rsidR="009D1EBB">
        <w:t>,</w:t>
      </w:r>
      <w:r w:rsidR="00AB3D23">
        <w:t xml:space="preserve"> and hyperparameter tuning</w:t>
      </w:r>
      <w:r w:rsidR="00973FDF">
        <w:t xml:space="preserve"> details</w:t>
      </w:r>
      <w:r w:rsidR="00B15433">
        <w:t>, and</w:t>
      </w:r>
      <w:r w:rsidR="00A667FC">
        <w:t xml:space="preserve"> our method to evaluate the attention head weights</w:t>
      </w:r>
      <w:r w:rsidRPr="00062A9C">
        <w:t>.</w:t>
      </w:r>
      <w:r w:rsidR="004F4A0D">
        <w:t xml:space="preserve"> </w:t>
      </w:r>
      <w:r w:rsidRPr="00062A9C">
        <w:t xml:space="preserve">The results section </w:t>
      </w:r>
      <w:r w:rsidR="00A0529D">
        <w:t>presents</w:t>
      </w:r>
      <w:r w:rsidR="00A854C9">
        <w:t xml:space="preserve"> </w:t>
      </w:r>
      <w:r w:rsidR="00A854C9" w:rsidRPr="00062A9C">
        <w:t xml:space="preserve">the </w:t>
      </w:r>
      <w:r w:rsidR="005B64DB">
        <w:t xml:space="preserve">results </w:t>
      </w:r>
      <w:proofErr w:type="gramStart"/>
      <w:r w:rsidR="008961A4">
        <w:t>on</w:t>
      </w:r>
      <w:proofErr w:type="gramEnd"/>
      <w:r w:rsidR="008961A4">
        <w:t xml:space="preserve"> the </w:t>
      </w:r>
      <w:r w:rsidR="00A854C9">
        <w:t>maximum forecast length</w:t>
      </w:r>
      <w:r w:rsidR="00002E33">
        <w:t xml:space="preserve"> </w:t>
      </w:r>
      <w:r w:rsidR="00572FC2">
        <w:t xml:space="preserve">and </w:t>
      </w:r>
      <w:r w:rsidR="00863B1A">
        <w:t>the</w:t>
      </w:r>
      <w:r w:rsidR="009B7DA2">
        <w:t xml:space="preserve"> training and</w:t>
      </w:r>
      <w:r w:rsidR="00863B1A">
        <w:t xml:space="preserve"> </w:t>
      </w:r>
      <w:r w:rsidR="00BF1FFC">
        <w:t>testing results with our</w:t>
      </w:r>
      <w:r w:rsidR="00063BE9">
        <w:t xml:space="preserve"> </w:t>
      </w:r>
      <w:r w:rsidR="00863B1A">
        <w:t>TFT-based surrogate flow model</w:t>
      </w:r>
      <w:r w:rsidR="008E2069">
        <w:t xml:space="preserve"> over</w:t>
      </w:r>
      <w:r w:rsidR="006C0FD5">
        <w:t xml:space="preserve"> the three</w:t>
      </w:r>
      <w:r w:rsidR="008E2069">
        <w:t xml:space="preserve"> </w:t>
      </w:r>
      <w:r w:rsidR="003F1695">
        <w:t xml:space="preserve">constructed </w:t>
      </w:r>
      <w:r w:rsidR="008E2069">
        <w:t>scenarios</w:t>
      </w:r>
      <w:r w:rsidR="008830AD">
        <w:t xml:space="preserve">. </w:t>
      </w:r>
      <w:r w:rsidR="00B06A5B">
        <w:t>W</w:t>
      </w:r>
      <w:r w:rsidR="00BF1FFC">
        <w:t>e present the</w:t>
      </w:r>
      <w:r w:rsidRPr="00062A9C">
        <w:t xml:space="preserve"> limitations and considerations</w:t>
      </w:r>
      <w:r w:rsidR="00033F56">
        <w:t xml:space="preserve"> of the models</w:t>
      </w:r>
      <w:r w:rsidRPr="00062A9C">
        <w:t xml:space="preserve"> </w:t>
      </w:r>
      <w:r w:rsidR="00572FC2">
        <w:t>and</w:t>
      </w:r>
      <w:r w:rsidR="009964D8" w:rsidRPr="00062A9C">
        <w:t xml:space="preserve"> </w:t>
      </w:r>
      <w:r w:rsidR="00361465">
        <w:t>concisely discuss</w:t>
      </w:r>
      <w:r w:rsidR="00696E0B" w:rsidRPr="00062A9C">
        <w:t xml:space="preserve"> the attention weights</w:t>
      </w:r>
      <w:r w:rsidR="00774254" w:rsidRPr="00062A9C">
        <w:t xml:space="preserve"> and </w:t>
      </w:r>
      <w:r w:rsidR="00E37E9A">
        <w:t>predictor feature</w:t>
      </w:r>
      <w:r w:rsidR="00E37E9A" w:rsidRPr="00062A9C">
        <w:t xml:space="preserve"> </w:t>
      </w:r>
      <w:r w:rsidR="00774254" w:rsidRPr="00062A9C">
        <w:t>importance</w:t>
      </w:r>
      <w:r w:rsidR="00DE2A93">
        <w:t xml:space="preserve"> for every scenario</w:t>
      </w:r>
      <w:r w:rsidR="004F0117" w:rsidRPr="00062A9C">
        <w:t>.</w:t>
      </w:r>
      <w:r w:rsidR="002F56CE" w:rsidRPr="00062A9C">
        <w:br w:type="page"/>
      </w:r>
    </w:p>
    <w:p w14:paraId="67E49491" w14:textId="77777777" w:rsidR="005657E0" w:rsidRPr="00062A9C" w:rsidRDefault="00AE6EBD" w:rsidP="00286D96">
      <w:pPr>
        <w:pStyle w:val="Heading1"/>
      </w:pPr>
      <w:r w:rsidRPr="00062A9C">
        <w:lastRenderedPageBreak/>
        <w:t>Methodology</w:t>
      </w:r>
    </w:p>
    <w:p w14:paraId="4724755D" w14:textId="77777777" w:rsidR="00253950" w:rsidRDefault="002B1D68" w:rsidP="002B1D68">
      <w:r w:rsidRPr="00390A3F">
        <w:t xml:space="preserve">Our </w:t>
      </w:r>
      <w:r w:rsidR="003D31CE" w:rsidRPr="00390A3F">
        <w:t xml:space="preserve">proposed </w:t>
      </w:r>
      <w:r w:rsidRPr="00390A3F">
        <w:t xml:space="preserve">workflow </w:t>
      </w:r>
      <w:r w:rsidR="003D31CE" w:rsidRPr="00390A3F">
        <w:t xml:space="preserve">augments </w:t>
      </w:r>
      <w:r w:rsidRPr="00390A3F">
        <w:t xml:space="preserve">conventional </w:t>
      </w:r>
      <w:r w:rsidR="002D7C4B" w:rsidRPr="00390A3F">
        <w:t xml:space="preserve">reservoir </w:t>
      </w:r>
      <w:r w:rsidRPr="00390A3F">
        <w:t>flow simulation</w:t>
      </w:r>
      <w:r w:rsidR="00CC63F3" w:rsidRPr="00390A3F">
        <w:t xml:space="preserve">, </w:t>
      </w:r>
      <w:r w:rsidRPr="00390A3F">
        <w:t>decline curve analysis</w:t>
      </w:r>
      <w:r w:rsidR="00237094" w:rsidRPr="00390A3F">
        <w:t>,</w:t>
      </w:r>
      <w:r w:rsidR="00CC63F3" w:rsidRPr="00390A3F">
        <w:t xml:space="preserve"> and analytical </w:t>
      </w:r>
      <w:r w:rsidR="00237094" w:rsidRPr="00390A3F">
        <w:t>methods</w:t>
      </w:r>
      <w:r w:rsidRPr="00390A3F">
        <w:t xml:space="preserve"> with a TFT-based surrogate flow model </w:t>
      </w:r>
      <w:r w:rsidR="005F211A" w:rsidRPr="00390A3F">
        <w:t>by</w:t>
      </w:r>
      <w:r w:rsidRPr="00390A3F">
        <w:t xml:space="preserve"> provid</w:t>
      </w:r>
      <w:r w:rsidR="005F211A" w:rsidRPr="00390A3F">
        <w:t>ing</w:t>
      </w:r>
      <w:r w:rsidRPr="00390A3F">
        <w:t xml:space="preserve"> forecasts of </w:t>
      </w:r>
      <w:r w:rsidR="0077276B" w:rsidRPr="00390A3F">
        <w:t>bottom-hole</w:t>
      </w:r>
      <w:r w:rsidR="00681E2C" w:rsidRPr="00390A3F">
        <w:t xml:space="preserve"> injection</w:t>
      </w:r>
      <w:r w:rsidR="0077276B" w:rsidRPr="00390A3F">
        <w:t xml:space="preserve"> </w:t>
      </w:r>
      <w:r w:rsidRPr="00390A3F">
        <w:t>pressure</w:t>
      </w:r>
      <w:r w:rsidR="00F55506" w:rsidRPr="00390A3F">
        <w:t xml:space="preserve">, </w:t>
      </w:r>
      <w:r w:rsidR="008F7CF4" w:rsidRPr="00390A3F">
        <w:t>water,</w:t>
      </w:r>
      <w:r w:rsidR="00F55506" w:rsidRPr="00390A3F">
        <w:t xml:space="preserve"> and </w:t>
      </w:r>
      <w:r w:rsidR="0077276B" w:rsidRPr="00390A3F">
        <w:t>oil rate</w:t>
      </w:r>
      <w:r w:rsidRPr="00390A3F">
        <w:t>.</w:t>
      </w:r>
      <w:r w:rsidR="007E7D5D">
        <w:t xml:space="preserve"> </w:t>
      </w:r>
      <w:r w:rsidR="00815D31">
        <w:fldChar w:fldCharType="begin"/>
      </w:r>
      <w:r w:rsidR="00815D31">
        <w:instrText xml:space="preserve"> REF _Ref127201706 \h </w:instrText>
      </w:r>
      <w:r w:rsidR="00815D31">
        <w:fldChar w:fldCharType="separate"/>
      </w:r>
      <w:r w:rsidR="00B11BFB">
        <w:t xml:space="preserve">Figure </w:t>
      </w:r>
      <w:r w:rsidR="00B11BFB">
        <w:rPr>
          <w:noProof/>
        </w:rPr>
        <w:t>1</w:t>
      </w:r>
      <w:r w:rsidR="00815D31">
        <w:fldChar w:fldCharType="end"/>
      </w:r>
      <w:r w:rsidR="00815D31" w:rsidRPr="00062A9C">
        <w:t xml:space="preserve"> shows the inputs</w:t>
      </w:r>
      <w:r w:rsidR="00815D31">
        <w:t>,</w:t>
      </w:r>
      <w:r w:rsidR="00815D31" w:rsidRPr="00062A9C">
        <w:t xml:space="preserve"> outputs</w:t>
      </w:r>
      <w:r w:rsidR="00815D31">
        <w:t>,</w:t>
      </w:r>
      <w:r w:rsidR="00815D31" w:rsidRPr="00062A9C">
        <w:t xml:space="preserve"> </w:t>
      </w:r>
      <w:r w:rsidR="00815D31">
        <w:t xml:space="preserve">and the TFT-based surrogate flow model </w:t>
      </w:r>
      <w:r w:rsidR="00815D31" w:rsidRPr="00062A9C">
        <w:t>schematically.</w:t>
      </w:r>
    </w:p>
    <w:p w14:paraId="5CB73FD5" w14:textId="77777777" w:rsidR="00815D31" w:rsidRDefault="00815D31" w:rsidP="00815D31">
      <w:pPr>
        <w:keepNext/>
        <w:spacing w:before="240"/>
        <w:jc w:val="center"/>
      </w:pPr>
      <w:r w:rsidRPr="00062A9C">
        <w:rPr>
          <w:noProof/>
        </w:rPr>
        <w:drawing>
          <wp:inline distT="0" distB="0" distL="0" distR="0" wp14:anchorId="50312513" wp14:editId="08683A73">
            <wp:extent cx="5103628" cy="47565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7879" cy="4807072"/>
                    </a:xfrm>
                    <a:prstGeom prst="rect">
                      <a:avLst/>
                    </a:prstGeom>
                    <a:noFill/>
                    <a:ln>
                      <a:noFill/>
                    </a:ln>
                  </pic:spPr>
                </pic:pic>
              </a:graphicData>
            </a:graphic>
          </wp:inline>
        </w:drawing>
      </w:r>
    </w:p>
    <w:p w14:paraId="7D18C06B" w14:textId="65360E17" w:rsidR="00815D31" w:rsidRDefault="00815D31" w:rsidP="003D0579">
      <w:pPr>
        <w:pStyle w:val="Caption"/>
      </w:pPr>
      <w:bookmarkStart w:id="3" w:name="_Ref127201706"/>
      <w:r>
        <w:t xml:space="preserve">Figure </w:t>
      </w:r>
      <w:fldSimple w:instr=" SEQ Figure \* ARABIC ">
        <w:r w:rsidR="00B11BFB">
          <w:rPr>
            <w:noProof/>
          </w:rPr>
          <w:t>1</w:t>
        </w:r>
      </w:fldSimple>
      <w:bookmarkEnd w:id="3"/>
      <w:r w:rsidR="00A300A6">
        <w:t>.</w:t>
      </w:r>
      <w:r>
        <w:t xml:space="preserve">- </w:t>
      </w:r>
      <w:r w:rsidRPr="009917E8">
        <w:rPr>
          <w:noProof/>
        </w:rPr>
        <w:t xml:space="preserve">Schematic of the forecasting problem containing </w:t>
      </w:r>
      <w:r w:rsidR="00E558C5">
        <w:rPr>
          <w:noProof/>
        </w:rPr>
        <w:t>static</w:t>
      </w:r>
      <w:r w:rsidR="00E558C5" w:rsidRPr="009917E8">
        <w:rPr>
          <w:noProof/>
        </w:rPr>
        <w:t xml:space="preserve"> </w:t>
      </w:r>
      <w:r w:rsidRPr="009917E8">
        <w:rPr>
          <w:noProof/>
        </w:rPr>
        <w:t xml:space="preserve">and </w:t>
      </w:r>
      <w:r w:rsidR="00E558C5">
        <w:rPr>
          <w:noProof/>
        </w:rPr>
        <w:t>d</w:t>
      </w:r>
      <w:r w:rsidR="00F5507D">
        <w:rPr>
          <w:noProof/>
        </w:rPr>
        <w:t>ynamic</w:t>
      </w:r>
      <w:r w:rsidR="00E558C5" w:rsidRPr="009917E8">
        <w:rPr>
          <w:noProof/>
        </w:rPr>
        <w:t xml:space="preserve"> </w:t>
      </w:r>
      <w:r w:rsidR="00E37E9A">
        <w:rPr>
          <w:noProof/>
        </w:rPr>
        <w:t>predictor features</w:t>
      </w:r>
      <w:r w:rsidRPr="009917E8">
        <w:rPr>
          <w:noProof/>
        </w:rPr>
        <w:t>.</w:t>
      </w:r>
    </w:p>
    <w:p w14:paraId="399AB43E" w14:textId="77777777" w:rsidR="00C50872" w:rsidRDefault="00C50872" w:rsidP="002B1D68">
      <w:r>
        <w:lastRenderedPageBreak/>
        <w:t>To construct a TFT-based surrogate flow model for forecasting</w:t>
      </w:r>
      <w:r w:rsidR="007A4EA5">
        <w:t xml:space="preserve"> with uncertainty</w:t>
      </w:r>
      <w:r w:rsidR="00556579">
        <w:t xml:space="preserve"> and interpretable outputs</w:t>
      </w:r>
      <w:r>
        <w:t>, we propose the following algorithm:</w:t>
      </w:r>
    </w:p>
    <w:p w14:paraId="7F019399" w14:textId="77777777" w:rsidR="002B1D68" w:rsidRPr="00062A9C" w:rsidRDefault="002B1D68" w:rsidP="002B1D68">
      <w:r w:rsidRPr="00062A9C">
        <w:rPr>
          <w:b/>
        </w:rPr>
        <w:t>Input</w:t>
      </w:r>
      <w:r w:rsidRPr="00062A9C">
        <w:t xml:space="preserve">: </w:t>
      </w:r>
      <w:r w:rsidR="00606B70">
        <w:rPr>
          <w:rFonts w:eastAsiaTheme="minorEastAsia"/>
        </w:rPr>
        <w:t>T</w:t>
      </w:r>
      <w:r w:rsidR="00915596">
        <w:rPr>
          <w:rFonts w:eastAsiaTheme="minorEastAsia"/>
        </w:rPr>
        <w:t xml:space="preserve">ime-dependent </w:t>
      </w:r>
      <w:r w:rsidR="00CA4336">
        <w:rPr>
          <w:rFonts w:eastAsiaTheme="minorEastAsia"/>
        </w:rPr>
        <w:t>predictor</w:t>
      </w:r>
      <w:r w:rsidR="00915596">
        <w:rPr>
          <w:rFonts w:eastAsiaTheme="minorEastAsia"/>
        </w:rPr>
        <w:t xml:space="preserve"> features</w:t>
      </w:r>
      <w:r w:rsidR="00E715F3">
        <w:t xml:space="preserve"> (i.e., </w:t>
      </w:r>
      <w:r w:rsidR="008B21C3">
        <w:t xml:space="preserve">oil rate, </w:t>
      </w:r>
      <w:r w:rsidR="00E715F3">
        <w:t>pressure measurements</w:t>
      </w:r>
      <w:r w:rsidR="007A743A">
        <w:t>, scheduled injection rates</w:t>
      </w:r>
      <w:r w:rsidR="00E715F3">
        <w:t>)</w:t>
      </w:r>
      <w:r w:rsidR="00BA57B5">
        <w:t xml:space="preserve">, </w:t>
      </w:r>
      <w:r w:rsidRPr="00062A9C">
        <w:t xml:space="preserve">static </w:t>
      </w:r>
      <w:r w:rsidR="002401B7">
        <w:t>features</w:t>
      </w:r>
      <w:r w:rsidR="005F5CB3">
        <w:t xml:space="preserve"> (i.e., position, distance</w:t>
      </w:r>
      <w:r w:rsidR="00A76CBE">
        <w:t xml:space="preserve"> to injector well</w:t>
      </w:r>
      <w:r w:rsidR="005F5CB3">
        <w:t>)</w:t>
      </w:r>
      <w:r w:rsidR="0094734B">
        <w:t>,</w:t>
      </w:r>
      <w:r w:rsidR="00BA57B5">
        <w:t xml:space="preserve"> and response features</w:t>
      </w:r>
      <w:r w:rsidR="008B21C3">
        <w:t xml:space="preserve"> (oil</w:t>
      </w:r>
      <w:r w:rsidR="001C6AE0">
        <w:t xml:space="preserve"> rate, </w:t>
      </w:r>
      <w:r w:rsidR="008B21C3">
        <w:t>water rate</w:t>
      </w:r>
      <w:r w:rsidR="0094734B">
        <w:t>,</w:t>
      </w:r>
      <w:r w:rsidR="001C6AE0">
        <w:t xml:space="preserve"> and injection pressure</w:t>
      </w:r>
      <w:r w:rsidR="008B21C3">
        <w:t>)</w:t>
      </w:r>
      <w:r w:rsidR="00BA57B5">
        <w:t>.</w:t>
      </w:r>
    </w:p>
    <w:p w14:paraId="7A88560E" w14:textId="77777777" w:rsidR="002B1D68" w:rsidRPr="00062A9C" w:rsidRDefault="002B1D68" w:rsidP="002B1D68">
      <w:r w:rsidRPr="00062A9C">
        <w:rPr>
          <w:b/>
        </w:rPr>
        <w:t>Output</w:t>
      </w:r>
      <w:r w:rsidRPr="00062A9C">
        <w:t xml:space="preserve">: </w:t>
      </w:r>
      <w:r w:rsidR="00086D4B" w:rsidRPr="00062A9C">
        <w:t>TFT-based s</w:t>
      </w:r>
      <w:r w:rsidRPr="00062A9C">
        <w:t xml:space="preserve">urrogate flow model </w:t>
      </w:r>
      <w:r w:rsidR="00B84959">
        <w:t>for forecasting with</w:t>
      </w:r>
      <w:r w:rsidRPr="00062A9C">
        <w:t xml:space="preserve"> uncertainty and interpretable output</w:t>
      </w:r>
      <w:r w:rsidR="00145E37" w:rsidRPr="00062A9C">
        <w:t>s</w:t>
      </w:r>
      <w:r w:rsidRPr="00062A9C">
        <w:t>.</w:t>
      </w:r>
    </w:p>
    <w:p w14:paraId="5B5A527E" w14:textId="77777777" w:rsidR="007564DE" w:rsidRPr="00062A9C" w:rsidRDefault="002B1D68" w:rsidP="0022248B">
      <w:pPr>
        <w:pStyle w:val="ListParagraph"/>
        <w:numPr>
          <w:ilvl w:val="0"/>
          <w:numId w:val="3"/>
        </w:numPr>
      </w:pPr>
      <w:r w:rsidRPr="00062A9C">
        <w:t xml:space="preserve">Prepare the dataset and </w:t>
      </w:r>
      <w:r w:rsidR="0008632E" w:rsidRPr="00062A9C">
        <w:t>p</w:t>
      </w:r>
      <w:r w:rsidRPr="00062A9C">
        <w:t>erform data pre-processing</w:t>
      </w:r>
      <w:r w:rsidR="003337E5">
        <w:t>.</w:t>
      </w:r>
      <w:r w:rsidRPr="00062A9C">
        <w:t xml:space="preserve"> </w:t>
      </w:r>
      <w:r w:rsidR="003337E5">
        <w:t>R</w:t>
      </w:r>
      <w:r w:rsidRPr="00062A9C">
        <w:t>emove anomalies, inco</w:t>
      </w:r>
      <w:r w:rsidR="002D246C" w:rsidRPr="00062A9C">
        <w:t>nsis</w:t>
      </w:r>
      <w:r w:rsidRPr="00062A9C">
        <w:t>tent observations</w:t>
      </w:r>
      <w:r w:rsidR="002D246C" w:rsidRPr="00062A9C">
        <w:t>,</w:t>
      </w:r>
      <w:r w:rsidRPr="00062A9C">
        <w:t xml:space="preserve"> and erroneous measurements</w:t>
      </w:r>
      <w:r w:rsidR="0022248B">
        <w:t xml:space="preserve">, </w:t>
      </w:r>
      <w:r w:rsidR="00923CFE">
        <w:t>a</w:t>
      </w:r>
      <w:r w:rsidR="007564DE" w:rsidRPr="00062A9C">
        <w:t>dd</w:t>
      </w:r>
      <w:r w:rsidR="00D06543">
        <w:t xml:space="preserve"> a</w:t>
      </w:r>
      <w:r w:rsidR="007564DE" w:rsidRPr="00062A9C">
        <w:t xml:space="preserve"> time index</w:t>
      </w:r>
      <w:r w:rsidR="007A348F">
        <w:t xml:space="preserve"> </w:t>
      </w:r>
      <w:r w:rsidR="000278DD">
        <w:t xml:space="preserve">and </w:t>
      </w:r>
      <w:r w:rsidR="00FF5A88">
        <w:t>predictor</w:t>
      </w:r>
      <w:r w:rsidR="007564DE" w:rsidRPr="00062A9C">
        <w:t xml:space="preserve"> features</w:t>
      </w:r>
      <w:r w:rsidR="000278DD">
        <w:t>.</w:t>
      </w:r>
    </w:p>
    <w:p w14:paraId="331B8BE8" w14:textId="77777777" w:rsidR="000711BD" w:rsidRDefault="000711BD" w:rsidP="000711BD">
      <w:pPr>
        <w:pStyle w:val="ListParagraph"/>
        <w:numPr>
          <w:ilvl w:val="0"/>
          <w:numId w:val="3"/>
        </w:numPr>
      </w:pPr>
      <w:r w:rsidRPr="00062A9C">
        <w:t>Create a baseline benchmark</w:t>
      </w:r>
      <w:r w:rsidR="00066F3C">
        <w:t xml:space="preserve"> using the last </w:t>
      </w:r>
      <w:r w:rsidR="008D5CA4">
        <w:t>observed value from the series.</w:t>
      </w:r>
    </w:p>
    <w:p w14:paraId="42D31ED8" w14:textId="77777777" w:rsidR="00D054C4" w:rsidRPr="00062A9C" w:rsidRDefault="00D054C4" w:rsidP="00D054C4">
      <w:pPr>
        <w:pStyle w:val="ListParagraph"/>
        <w:numPr>
          <w:ilvl w:val="0"/>
          <w:numId w:val="3"/>
        </w:numPr>
      </w:pPr>
      <w:r>
        <w:t>Perform hyperparameter importance t</w:t>
      </w:r>
      <w:r w:rsidR="0017731D">
        <w:t xml:space="preserve">o select </w:t>
      </w:r>
      <w:r w:rsidR="00C704CA">
        <w:t>the</w:t>
      </w:r>
      <w:r w:rsidR="0017731D">
        <w:t xml:space="preserve"> hyperparameters to </w:t>
      </w:r>
      <w:r w:rsidR="00D77333">
        <w:t>tune.</w:t>
      </w:r>
    </w:p>
    <w:p w14:paraId="38531CF6" w14:textId="77777777" w:rsidR="002B1D68" w:rsidRDefault="002B1D68" w:rsidP="0017731D">
      <w:pPr>
        <w:pStyle w:val="ListParagraph"/>
        <w:numPr>
          <w:ilvl w:val="1"/>
          <w:numId w:val="3"/>
        </w:numPr>
      </w:pPr>
      <w:r w:rsidRPr="00062A9C">
        <w:t xml:space="preserve">For </w:t>
      </w:r>
      <m:oMath>
        <m:r>
          <w:rPr>
            <w:rFonts w:ascii="Cambria Math" w:hAnsi="Cambria Math"/>
          </w:rPr>
          <m:t>m</m:t>
        </m:r>
      </m:oMath>
      <w:r w:rsidRPr="00062A9C">
        <w:t xml:space="preserve"> combination of hyperparameters</w:t>
      </w:r>
      <w:r w:rsidR="00325083">
        <w:t>:</w:t>
      </w:r>
    </w:p>
    <w:p w14:paraId="678AD0B2" w14:textId="77777777" w:rsidR="000711BD" w:rsidRDefault="000711BD" w:rsidP="0017731D">
      <w:pPr>
        <w:pStyle w:val="ListParagraph"/>
        <w:numPr>
          <w:ilvl w:val="2"/>
          <w:numId w:val="3"/>
        </w:numPr>
      </w:pPr>
      <w:r w:rsidRPr="00062A9C">
        <w:t>Perform model training with selected hyperparameters.</w:t>
      </w:r>
    </w:p>
    <w:p w14:paraId="537539DE" w14:textId="77777777" w:rsidR="00923DF0" w:rsidRPr="00062A9C" w:rsidRDefault="00923DF0" w:rsidP="00923DF0">
      <w:pPr>
        <w:pStyle w:val="ListParagraph"/>
        <w:numPr>
          <w:ilvl w:val="2"/>
          <w:numId w:val="3"/>
        </w:numPr>
      </w:pPr>
      <w:r>
        <w:t>S</w:t>
      </w:r>
      <w:r w:rsidRPr="00062A9C">
        <w:t xml:space="preserve">cale the </w:t>
      </w:r>
      <w:r>
        <w:t>predictor</w:t>
      </w:r>
      <w:r w:rsidRPr="00062A9C">
        <w:t xml:space="preserve"> </w:t>
      </w:r>
      <w:r>
        <w:t>features</w:t>
      </w:r>
      <w:r w:rsidRPr="00062A9C">
        <w:t xml:space="preserve"> dynamically during training.</w:t>
      </w:r>
    </w:p>
    <w:p w14:paraId="5339E77E" w14:textId="77777777" w:rsidR="0022542C" w:rsidRDefault="0022542C" w:rsidP="0017731D">
      <w:pPr>
        <w:pStyle w:val="ListParagraph"/>
        <w:numPr>
          <w:ilvl w:val="2"/>
          <w:numId w:val="3"/>
        </w:numPr>
      </w:pPr>
      <w:r>
        <w:t xml:space="preserve">Select the combination of hyperparameters that minimize the loss </w:t>
      </w:r>
      <w:r w:rsidR="003E512D">
        <w:t>function.</w:t>
      </w:r>
    </w:p>
    <w:p w14:paraId="6F72B18D" w14:textId="77777777" w:rsidR="00122952" w:rsidRDefault="00122952" w:rsidP="00122952">
      <w:pPr>
        <w:pStyle w:val="ListParagraph"/>
        <w:numPr>
          <w:ilvl w:val="0"/>
          <w:numId w:val="3"/>
        </w:numPr>
      </w:pPr>
      <w:r>
        <w:t xml:space="preserve">Perform model </w:t>
      </w:r>
      <w:r w:rsidR="00D77333">
        <w:t>training</w:t>
      </w:r>
      <w:r w:rsidR="00CB5213">
        <w:t xml:space="preserve"> using the quantile loss function</w:t>
      </w:r>
      <w:r w:rsidR="005562F0">
        <w:t xml:space="preserve"> and the selected hyperparameters from step 3</w:t>
      </w:r>
      <w:r w:rsidR="00D77333">
        <w:t>.</w:t>
      </w:r>
    </w:p>
    <w:p w14:paraId="1E1253D4" w14:textId="77777777" w:rsidR="00811022" w:rsidRDefault="00923DF0" w:rsidP="00811022">
      <w:pPr>
        <w:pStyle w:val="ListParagraph"/>
        <w:numPr>
          <w:ilvl w:val="1"/>
          <w:numId w:val="3"/>
        </w:numPr>
      </w:pPr>
      <w:r>
        <w:t>S</w:t>
      </w:r>
      <w:r w:rsidR="00811022" w:rsidRPr="00062A9C">
        <w:t xml:space="preserve">cale the </w:t>
      </w:r>
      <w:r w:rsidR="002331D0">
        <w:t>predictor</w:t>
      </w:r>
      <w:r w:rsidR="00811022" w:rsidRPr="00062A9C">
        <w:t xml:space="preserve"> </w:t>
      </w:r>
      <w:r w:rsidR="00050A9B">
        <w:t>features</w:t>
      </w:r>
      <w:r w:rsidR="00811022" w:rsidRPr="00062A9C">
        <w:t xml:space="preserve"> dynamically during training.</w:t>
      </w:r>
    </w:p>
    <w:p w14:paraId="4026AB2E" w14:textId="77777777" w:rsidR="001D05D8" w:rsidRDefault="00E905DC" w:rsidP="00122952">
      <w:pPr>
        <w:pStyle w:val="ListParagraph"/>
        <w:numPr>
          <w:ilvl w:val="0"/>
          <w:numId w:val="3"/>
        </w:numPr>
      </w:pPr>
      <w:r>
        <w:t>For every time step in the testing dataset</w:t>
      </w:r>
      <w:r w:rsidR="00325083">
        <w:t>:</w:t>
      </w:r>
    </w:p>
    <w:p w14:paraId="2681E246" w14:textId="77777777" w:rsidR="002C5FA3" w:rsidRDefault="002C5FA3" w:rsidP="002C5FA3">
      <w:pPr>
        <w:pStyle w:val="ListParagraph"/>
        <w:numPr>
          <w:ilvl w:val="1"/>
          <w:numId w:val="3"/>
        </w:numPr>
      </w:pPr>
      <w:r>
        <w:t xml:space="preserve">Extract attention head weights </w:t>
      </w:r>
    </w:p>
    <w:p w14:paraId="5FD253BF" w14:textId="77777777" w:rsidR="001722B9" w:rsidRDefault="00FF1EA6" w:rsidP="00E905DC">
      <w:pPr>
        <w:pStyle w:val="ListParagraph"/>
        <w:numPr>
          <w:ilvl w:val="1"/>
          <w:numId w:val="3"/>
        </w:numPr>
      </w:pPr>
      <w:r>
        <w:t xml:space="preserve">Interpret predictions </w:t>
      </w:r>
      <w:r w:rsidR="00E1293A">
        <w:t>using SHAP</w:t>
      </w:r>
      <w:r w:rsidR="00331E32">
        <w:t xml:space="preserve"> and calculate Shapley </w:t>
      </w:r>
      <w:r w:rsidR="00325083">
        <w:t>values.</w:t>
      </w:r>
    </w:p>
    <w:p w14:paraId="22E3A8B2" w14:textId="77777777" w:rsidR="00745BA2" w:rsidRPr="00062A9C" w:rsidRDefault="00745BA2" w:rsidP="00E905DC">
      <w:pPr>
        <w:pStyle w:val="ListParagraph"/>
        <w:numPr>
          <w:ilvl w:val="1"/>
          <w:numId w:val="3"/>
        </w:numPr>
      </w:pPr>
      <w:r>
        <w:lastRenderedPageBreak/>
        <w:t xml:space="preserve">Return the average of the absolute Shapley values for every </w:t>
      </w:r>
      <w:r w:rsidR="00325083">
        <w:t>feature.</w:t>
      </w:r>
    </w:p>
    <w:p w14:paraId="12CB7422" w14:textId="77777777" w:rsidR="00363B1D" w:rsidRPr="00062A9C" w:rsidRDefault="002B1D68" w:rsidP="00363B1D">
      <w:r w:rsidRPr="00062A9C">
        <w:rPr>
          <w:b/>
        </w:rPr>
        <w:t>Return</w:t>
      </w:r>
      <w:r w:rsidRPr="00062A9C">
        <w:t xml:space="preserve"> </w:t>
      </w:r>
      <w:r w:rsidR="00DB71BC" w:rsidRPr="00062A9C">
        <w:t>TFT-</w:t>
      </w:r>
      <w:r w:rsidRPr="00062A9C">
        <w:t>based surrogate flow model</w:t>
      </w:r>
      <w:r w:rsidR="00A4281C">
        <w:t xml:space="preserve"> with interpretable </w:t>
      </w:r>
      <w:r w:rsidR="003958CD">
        <w:t>outputs.</w:t>
      </w:r>
    </w:p>
    <w:p w14:paraId="2232EA0F" w14:textId="77777777" w:rsidR="00F04999" w:rsidRPr="00F04999" w:rsidRDefault="00F04999" w:rsidP="00F04999">
      <w:pPr>
        <w:pStyle w:val="Heading2"/>
      </w:pPr>
      <w:r>
        <w:t>Location-based predictor features</w:t>
      </w:r>
    </w:p>
    <w:p w14:paraId="164A13A6" w14:textId="77777777" w:rsidR="00B50E7C" w:rsidRDefault="00B50E7C" w:rsidP="00B50E7C">
      <w:r>
        <w:t>To include spatial</w:t>
      </w:r>
      <w:r w:rsidR="00590CFC">
        <w:t xml:space="preserve"> predictor</w:t>
      </w:r>
      <w:r>
        <w:t xml:space="preserve"> </w:t>
      </w:r>
      <w:r w:rsidR="00463AE7">
        <w:t>feature</w:t>
      </w:r>
      <w:r w:rsidR="00FF3A67">
        <w:t>s</w:t>
      </w:r>
      <w:r>
        <w:t xml:space="preserve"> in the dataset</w:t>
      </w:r>
      <w:r w:rsidR="00C66D2A">
        <w:t>,</w:t>
      </w:r>
      <w:r w:rsidR="00F844C6">
        <w:t xml:space="preserve"> w</w:t>
      </w:r>
      <w:r>
        <w:t>e propose the following predictor features to relate the formation flow capacity (</w:t>
      </w:r>
      <m:oMath>
        <m:r>
          <w:rPr>
            <w:rFonts w:ascii="Cambria Math" w:hAnsi="Cambria Math"/>
          </w:rPr>
          <m:t>Kh</m:t>
        </m:r>
      </m:oMath>
      <w:r>
        <w:t>) and storage capacity (</w:t>
      </w:r>
      <m:oMath>
        <m:r>
          <w:rPr>
            <w:rFonts w:ascii="Cambria Math" w:hAnsi="Cambria Math"/>
          </w:rPr>
          <m:t>ϕh</m:t>
        </m:r>
      </m:oMath>
      <w:r>
        <w:t>) with the well location. First, we define a fixed point with coordinates (</w:t>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eastAsiaTheme="minorEastAsia" w:hAnsi="Cambria Math"/>
                <w:i/>
              </w:rPr>
            </m:ctrlPr>
          </m:sSubPr>
          <m:e>
            <m:r>
              <w:rPr>
                <w:rFonts w:ascii="Cambria Math" w:hAnsi="Cambria Math"/>
              </w:rPr>
              <m:t>y</m:t>
            </m:r>
            <m:ctrlPr>
              <w:rPr>
                <w:rFonts w:ascii="Cambria Math" w:hAnsi="Cambria Math"/>
                <w:i/>
              </w:rPr>
            </m:ctrlPr>
          </m:e>
          <m:sub>
            <m:r>
              <w:rPr>
                <w:rFonts w:ascii="Cambria Math" w:eastAsiaTheme="minorEastAsia" w:hAnsi="Cambria Math"/>
              </w:rPr>
              <m:t>p</m:t>
            </m:r>
          </m:sub>
        </m:sSub>
      </m:oMath>
      <w:r>
        <w:rPr>
          <w:rFonts w:eastAsiaTheme="minorEastAsia"/>
        </w:rPr>
        <w:t xml:space="preserve"> </w:t>
      </w:r>
      <w:r>
        <w:t xml:space="preserve">) (i.e., the position of the injector well, the shortest distance to a fault). Then using equations </w:t>
      </w:r>
      <w:r>
        <w:fldChar w:fldCharType="begin"/>
      </w:r>
      <w:r>
        <w:instrText xml:space="preserve"> REF _Ref129002435 \h </w:instrText>
      </w:r>
      <w:r>
        <w:fldChar w:fldCharType="separate"/>
      </w:r>
      <w:r w:rsidR="00B11BFB">
        <w:rPr>
          <w:noProof/>
        </w:rPr>
        <w:t>6</w:t>
      </w:r>
      <w:r>
        <w:fldChar w:fldCharType="end"/>
      </w:r>
      <w:r>
        <w:t xml:space="preserve"> and </w:t>
      </w:r>
      <w:r>
        <w:fldChar w:fldCharType="begin"/>
      </w:r>
      <w:r>
        <w:instrText xml:space="preserve"> REF _Ref129002437 \h </w:instrText>
      </w:r>
      <w:r>
        <w:fldChar w:fldCharType="separate"/>
      </w:r>
      <w:r w:rsidR="00B11BFB">
        <w:rPr>
          <w:noProof/>
        </w:rPr>
        <w:t>7</w:t>
      </w:r>
      <w:r>
        <w:fldChar w:fldCharType="end"/>
      </w:r>
      <w:r>
        <w:t>, we calculate the proposed predictor features</w:t>
      </w:r>
      <w:r w:rsidR="00D4693F">
        <w:t xml:space="preserve"> for every </w:t>
      </w:r>
      <m:oMath>
        <m:r>
          <w:rPr>
            <w:rFonts w:ascii="Cambria Math" w:hAnsi="Cambria Math"/>
          </w:rPr>
          <m:t>j</m:t>
        </m:r>
      </m:oMath>
      <w:r w:rsidR="00D4693F">
        <w:rPr>
          <w:rFonts w:eastAsiaTheme="minorEastAsia"/>
        </w:rPr>
        <w:t xml:space="preserve"> well in the dataset</w:t>
      </w:r>
      <w:r w:rsidR="00FE16D3">
        <w:rPr>
          <w:rFonts w:eastAsiaTheme="minor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
        <w:gridCol w:w="8354"/>
        <w:gridCol w:w="613"/>
      </w:tblGrid>
      <w:tr w:rsidR="00B50E7C" w:rsidRPr="00062A9C" w14:paraId="7DF98C79" w14:textId="77777777" w:rsidTr="0033329D">
        <w:trPr>
          <w:jc w:val="center"/>
        </w:trPr>
        <w:tc>
          <w:tcPr>
            <w:tcW w:w="393" w:type="dxa"/>
            <w:vAlign w:val="center"/>
          </w:tcPr>
          <w:p w14:paraId="32E084BF" w14:textId="77777777" w:rsidR="00B50E7C" w:rsidRPr="00062A9C" w:rsidRDefault="00B50E7C" w:rsidP="0033329D">
            <w:pPr>
              <w:pStyle w:val="BodyText"/>
              <w:spacing w:before="18" w:line="480" w:lineRule="auto"/>
              <w:ind w:left="0" w:right="144"/>
              <w:jc w:val="center"/>
              <w:rPr>
                <w:rFonts w:asciiTheme="minorHAnsi" w:hAnsiTheme="minorHAnsi" w:cstheme="minorHAnsi"/>
                <w:w w:val="90"/>
              </w:rPr>
            </w:pPr>
          </w:p>
        </w:tc>
        <w:tc>
          <w:tcPr>
            <w:tcW w:w="8354" w:type="dxa"/>
            <w:vAlign w:val="center"/>
          </w:tcPr>
          <w:p w14:paraId="6A516B20" w14:textId="59FAF081" w:rsidR="00B50E7C" w:rsidRPr="00A011B1" w:rsidRDefault="009D3C58" w:rsidP="0033329D">
            <w:pPr>
              <w:spacing w:before="6"/>
              <w:rPr>
                <w:rFonts w:asciiTheme="minorHAnsi" w:eastAsia="Bookman Old Style" w:hAnsiTheme="minorHAnsi" w:cstheme="minorHAnsi"/>
                <w:szCs w:val="24"/>
              </w:rPr>
            </w:pPr>
            <m:oMathPara>
              <m:oMathParaPr>
                <m:jc m:val="center"/>
              </m:oMathParaPr>
              <m:oMath>
                <m:r>
                  <m:rPr>
                    <m:nor/>
                  </m:rPr>
                  <w:rPr>
                    <w:rFonts w:ascii="Cambria Math" w:hAnsi="Cambria Math" w:cstheme="minorHAnsi"/>
                  </w:rPr>
                  <m:t xml:space="preserve">Position </m:t>
                </m:r>
                <m:sSub>
                  <m:sSubPr>
                    <m:ctrlPr>
                      <w:rPr>
                        <w:rFonts w:ascii="Cambria Math" w:hAnsi="Cambria Math" w:cstheme="minorHAnsi"/>
                      </w:rPr>
                    </m:ctrlPr>
                  </m:sSubPr>
                  <m:e>
                    <m:r>
                      <m:rPr>
                        <m:nor/>
                      </m:rPr>
                      <w:rPr>
                        <w:rFonts w:ascii="Cambria Math" w:hAnsi="Cambria Math" w:cstheme="minorHAnsi"/>
                      </w:rPr>
                      <m:t>(Kh)</m:t>
                    </m:r>
                  </m:e>
                  <m:sub>
                    <m:r>
                      <m:rPr>
                        <m:sty m:val="p"/>
                      </m:rPr>
                      <w:rPr>
                        <w:rFonts w:ascii="Cambria Math" w:hAnsi="Cambria Math" w:cstheme="minorHAnsi"/>
                      </w:rPr>
                      <m:t>j</m:t>
                    </m:r>
                  </m:sub>
                </m:sSub>
                <m:r>
                  <m:rPr>
                    <m:sty m:val="p"/>
                  </m:rPr>
                  <w:rPr>
                    <w:rFonts w:ascii="Cambria Math" w:hAnsi="Cambria Math" w:cstheme="minorHAnsi"/>
                  </w:rPr>
                  <m:t xml:space="preserve">= </m:t>
                </m:r>
                <m:f>
                  <m:fPr>
                    <m:ctrlPr>
                      <w:rPr>
                        <w:rFonts w:ascii="Cambria Math" w:hAnsi="Cambria Math" w:cstheme="minorHAns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m:t>
                        </m:r>
                      </m:sub>
                    </m:sSub>
                    <m:ctrlPr>
                      <w:rPr>
                        <w:rFonts w:ascii="Cambria Math" w:hAnsi="Cambria Math" w:cstheme="minorHAnsi"/>
                        <w:i/>
                      </w:rPr>
                    </m:ctrlPr>
                  </m:num>
                  <m:den>
                    <m:rad>
                      <m:radPr>
                        <m:degHide m:val="1"/>
                        <m:ctrlPr>
                          <w:rPr>
                            <w:rFonts w:ascii="Cambria Math" w:hAnsi="Cambria Math" w:cstheme="minorHAnsi"/>
                            <w:i/>
                          </w:rPr>
                        </m:ctrlPr>
                      </m:radPr>
                      <m:deg/>
                      <m:e>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p</m:t>
                                    </m:r>
                                  </m:sub>
                                </m:sSub>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p</m:t>
                                    </m:r>
                                  </m:sub>
                                </m:sSub>
                              </m:e>
                            </m:d>
                          </m:e>
                          <m:sup>
                            <m:r>
                              <w:rPr>
                                <w:rFonts w:ascii="Cambria Math" w:hAnsi="Cambria Math" w:cstheme="minorHAnsi"/>
                              </w:rPr>
                              <m:t>2</m:t>
                            </m:r>
                          </m:sup>
                        </m:sSup>
                      </m:e>
                    </m:rad>
                    <m:r>
                      <w:rPr>
                        <w:rFonts w:ascii="Cambria Math" w:hAnsi="Cambria Math" w:cstheme="minorHAnsi"/>
                      </w:rPr>
                      <m:t xml:space="preserve"> </m:t>
                    </m:r>
                  </m:den>
                </m:f>
                <m:r>
                  <w:rPr>
                    <w:rFonts w:ascii="Cambria Math" w:eastAsia="Bookman Old Style" w:hAnsi="Cambria Math" w:cstheme="minorHAnsi"/>
                  </w:rPr>
                  <m:t>,</m:t>
                </m:r>
              </m:oMath>
            </m:oMathPara>
          </w:p>
        </w:tc>
        <w:tc>
          <w:tcPr>
            <w:tcW w:w="613" w:type="dxa"/>
            <w:vAlign w:val="center"/>
          </w:tcPr>
          <w:p w14:paraId="50879F5D" w14:textId="77777777" w:rsidR="00B50E7C" w:rsidRPr="009704CC" w:rsidRDefault="00A139B9" w:rsidP="003D0579">
            <w:pPr>
              <w:pStyle w:val="Caption"/>
            </w:pPr>
            <w:fldSimple w:instr=" SEQ Equation \* ARABIC ">
              <w:bookmarkStart w:id="4" w:name="_Ref129002435"/>
              <w:r w:rsidR="00B11BFB">
                <w:rPr>
                  <w:noProof/>
                </w:rPr>
                <w:t>6</w:t>
              </w:r>
              <w:bookmarkEnd w:id="4"/>
            </w:fldSimple>
          </w:p>
        </w:tc>
      </w:tr>
      <w:tr w:rsidR="00B50E7C" w:rsidRPr="00062A9C" w14:paraId="3762CE96" w14:textId="77777777" w:rsidTr="0033329D">
        <w:tblPrEx>
          <w:jc w:val="left"/>
        </w:tblPrEx>
        <w:tc>
          <w:tcPr>
            <w:tcW w:w="393" w:type="dxa"/>
          </w:tcPr>
          <w:p w14:paraId="698EE80E" w14:textId="77777777" w:rsidR="00B50E7C" w:rsidRPr="00062A9C" w:rsidRDefault="00B50E7C" w:rsidP="0033329D">
            <w:pPr>
              <w:pStyle w:val="BodyText"/>
              <w:spacing w:before="18" w:line="480" w:lineRule="auto"/>
              <w:ind w:left="0" w:right="144"/>
              <w:jc w:val="center"/>
              <w:rPr>
                <w:rFonts w:asciiTheme="minorHAnsi" w:hAnsiTheme="minorHAnsi" w:cstheme="minorHAnsi"/>
                <w:w w:val="90"/>
              </w:rPr>
            </w:pPr>
          </w:p>
        </w:tc>
        <w:tc>
          <w:tcPr>
            <w:tcW w:w="8354" w:type="dxa"/>
          </w:tcPr>
          <w:p w14:paraId="2A6942B8" w14:textId="691741F9" w:rsidR="00B50E7C" w:rsidRPr="00DA6539" w:rsidRDefault="009D3C58" w:rsidP="0033329D">
            <w:pPr>
              <w:spacing w:before="6"/>
              <w:rPr>
                <w:rFonts w:asciiTheme="minorHAnsi" w:eastAsia="Bookman Old Style" w:hAnsiTheme="minorHAnsi" w:cstheme="minorHAnsi"/>
                <w:szCs w:val="24"/>
              </w:rPr>
            </w:pPr>
            <m:oMathPara>
              <m:oMathParaPr>
                <m:jc m:val="center"/>
              </m:oMathParaPr>
              <m:oMath>
                <m:r>
                  <m:rPr>
                    <m:nor/>
                  </m:rPr>
                  <w:rPr>
                    <w:rFonts w:ascii="Cambria Math" w:hAnsi="Cambria Math" w:cstheme="minorHAnsi"/>
                  </w:rPr>
                  <m:t xml:space="preserve">Position </m:t>
                </m:r>
                <m:sSub>
                  <m:sSubPr>
                    <m:ctrlPr>
                      <w:rPr>
                        <w:rFonts w:ascii="Cambria Math" w:hAnsi="Cambria Math" w:cstheme="minorHAnsi"/>
                      </w:rPr>
                    </m:ctrlPr>
                  </m:sSubPr>
                  <m:e>
                    <m:r>
                      <m:rPr>
                        <m:nor/>
                      </m:rPr>
                      <w:rPr>
                        <w:rFonts w:ascii="Cambria Math" w:hAnsi="Cambria Math" w:cstheme="minorHAnsi"/>
                      </w:rPr>
                      <m:t>(ϕh)</m:t>
                    </m:r>
                  </m:e>
                  <m:sub>
                    <m:r>
                      <m:rPr>
                        <m:sty m:val="p"/>
                      </m:rPr>
                      <w:rPr>
                        <w:rFonts w:ascii="Cambria Math" w:hAnsi="Cambria Math" w:cstheme="minorHAnsi"/>
                      </w:rPr>
                      <m:t>j</m:t>
                    </m:r>
                  </m:sub>
                </m:sSub>
                <m:r>
                  <m:rPr>
                    <m:sty m:val="p"/>
                  </m:rPr>
                  <w:rPr>
                    <w:rFonts w:ascii="Cambria Math" w:hAnsi="Cambria Math" w:cstheme="minorHAnsi"/>
                  </w:rPr>
                  <m:t>=</m:t>
                </m:r>
                <m:f>
                  <m:fPr>
                    <m:ctrlPr>
                      <w:rPr>
                        <w:rFonts w:ascii="Cambria Math" w:hAnsi="Cambria Math" w:cstheme="minorHAnsi"/>
                      </w:rPr>
                    </m:ctrlPr>
                  </m:fPr>
                  <m:num>
                    <m:sSub>
                      <m:sSubPr>
                        <m:ctrlPr>
                          <w:rPr>
                            <w:rFonts w:ascii="Cambria Math" w:hAnsi="Cambria Math" w:cstheme="minorHAnsi"/>
                            <w:i/>
                          </w:rPr>
                        </m:ctrlPr>
                      </m:sSubPr>
                      <m:e>
                        <m:r>
                          <w:rPr>
                            <w:rFonts w:ascii="Cambria Math" w:hAnsi="Cambria Math" w:cstheme="minorHAnsi"/>
                          </w:rPr>
                          <m:t>ϕ</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m:t>
                        </m:r>
                      </m:sub>
                    </m:sSub>
                    <m:ctrlPr>
                      <w:rPr>
                        <w:rFonts w:ascii="Cambria Math" w:hAnsi="Cambria Math" w:cstheme="minorHAnsi"/>
                        <w:i/>
                      </w:rPr>
                    </m:ctrlPr>
                  </m:num>
                  <m:den>
                    <m:rad>
                      <m:radPr>
                        <m:degHide m:val="1"/>
                        <m:ctrlPr>
                          <w:rPr>
                            <w:rFonts w:ascii="Cambria Math" w:hAnsi="Cambria Math" w:cstheme="minorHAnsi"/>
                            <w:i/>
                          </w:rPr>
                        </m:ctrlPr>
                      </m:radPr>
                      <m:deg/>
                      <m:e>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p</m:t>
                                    </m:r>
                                  </m:sub>
                                </m:sSub>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p</m:t>
                                    </m:r>
                                  </m:sub>
                                </m:sSub>
                              </m:e>
                            </m:d>
                          </m:e>
                          <m:sup>
                            <m:r>
                              <w:rPr>
                                <w:rFonts w:ascii="Cambria Math" w:hAnsi="Cambria Math" w:cstheme="minorHAnsi"/>
                              </w:rPr>
                              <m:t>2</m:t>
                            </m:r>
                          </m:sup>
                        </m:sSup>
                      </m:e>
                    </m:rad>
                    <m:r>
                      <w:rPr>
                        <w:rFonts w:ascii="Cambria Math" w:hAnsi="Cambria Math" w:cstheme="minorHAnsi"/>
                      </w:rPr>
                      <m:t xml:space="preserve"> </m:t>
                    </m:r>
                  </m:den>
                </m:f>
                <m:r>
                  <w:rPr>
                    <w:rFonts w:ascii="Cambria Math" w:eastAsia="Bookman Old Style" w:hAnsi="Cambria Math" w:cstheme="minorHAnsi"/>
                  </w:rPr>
                  <m:t>,</m:t>
                </m:r>
              </m:oMath>
            </m:oMathPara>
          </w:p>
        </w:tc>
        <w:tc>
          <w:tcPr>
            <w:tcW w:w="613" w:type="dxa"/>
          </w:tcPr>
          <w:p w14:paraId="23315A52" w14:textId="77777777" w:rsidR="00B50E7C" w:rsidRPr="00062A9C" w:rsidRDefault="00A139B9" w:rsidP="003D0579">
            <w:pPr>
              <w:pStyle w:val="Caption"/>
              <w:rPr>
                <w:rFonts w:cstheme="minorHAnsi"/>
                <w:i/>
                <w:szCs w:val="22"/>
              </w:rPr>
            </w:pPr>
            <w:fldSimple w:instr=" SEQ Equation \* ARABIC ">
              <w:bookmarkStart w:id="5" w:name="_Ref129002437"/>
              <w:r w:rsidR="00B11BFB">
                <w:rPr>
                  <w:noProof/>
                </w:rPr>
                <w:t>7</w:t>
              </w:r>
              <w:bookmarkEnd w:id="5"/>
            </w:fldSimple>
          </w:p>
        </w:tc>
      </w:tr>
    </w:tbl>
    <w:p w14:paraId="649C1F51" w14:textId="7C60B8B9" w:rsidR="00744367" w:rsidRDefault="00DF3C06" w:rsidP="003A45EF">
      <w:r>
        <w:t>w</w:t>
      </w:r>
      <w:r w:rsidR="00B50E7C">
        <w:t xml:space="preserve">here </w:t>
      </w:r>
      <m:oMath>
        <m:r>
          <w:rPr>
            <w:rFonts w:ascii="Cambria Math" w:hAnsi="Cambria Math"/>
          </w:rPr>
          <m:t>K</m:t>
        </m:r>
      </m:oMath>
      <w:r w:rsidR="00B50E7C">
        <w:rPr>
          <w:rFonts w:eastAsiaTheme="minorEastAsia"/>
        </w:rPr>
        <w:t xml:space="preserve"> is the absolute permeability, </w:t>
      </w:r>
      <m:oMath>
        <m:r>
          <w:rPr>
            <w:rFonts w:ascii="Cambria Math" w:eastAsiaTheme="minorEastAsia" w:hAnsi="Cambria Math"/>
          </w:rPr>
          <m:t>h</m:t>
        </m:r>
      </m:oMath>
      <w:r w:rsidR="00B50E7C">
        <w:rPr>
          <w:rFonts w:eastAsiaTheme="minorEastAsia"/>
        </w:rPr>
        <w:t xml:space="preserve"> is the thickness, and </w:t>
      </w:r>
      <m:oMath>
        <m:r>
          <w:rPr>
            <w:rFonts w:ascii="Cambria Math" w:eastAsiaTheme="minorEastAsia" w:hAnsi="Cambria Math"/>
          </w:rPr>
          <m:t>ϕ</m:t>
        </m:r>
      </m:oMath>
      <w:r w:rsidR="00B50E7C">
        <w:rPr>
          <w:rFonts w:eastAsiaTheme="minorEastAsia"/>
        </w:rPr>
        <w:t xml:space="preserve"> is the porosity of well </w:t>
      </w:r>
      <m:oMath>
        <m:r>
          <w:rPr>
            <w:rFonts w:ascii="Cambria Math" w:eastAsiaTheme="minorEastAsia" w:hAnsi="Cambria Math"/>
          </w:rPr>
          <m:t>i</m:t>
        </m:r>
      </m:oMath>
      <w:r w:rsidR="00B50E7C">
        <w:rPr>
          <w:rFonts w:eastAsiaTheme="minorEastAsia"/>
        </w:rPr>
        <w:t xml:space="preserve">. </w:t>
      </w:r>
      <m:oMath>
        <m:r>
          <w:rPr>
            <w:rFonts w:ascii="Cambria Math" w:eastAsiaTheme="minorEastAsia" w:hAnsi="Cambria Math"/>
          </w:rPr>
          <m:t>x</m:t>
        </m:r>
      </m:oMath>
      <w:r w:rsidR="00B50E7C">
        <w:rPr>
          <w:rFonts w:eastAsiaTheme="minorEastAsia"/>
        </w:rPr>
        <w:t xml:space="preserve"> and </w:t>
      </w:r>
      <m:oMath>
        <m:r>
          <w:rPr>
            <w:rFonts w:ascii="Cambria Math" w:eastAsiaTheme="minorEastAsia" w:hAnsi="Cambria Math"/>
          </w:rPr>
          <m:t>y</m:t>
        </m:r>
      </m:oMath>
      <w:r w:rsidR="00B50E7C">
        <w:rPr>
          <w:rFonts w:eastAsiaTheme="minorEastAsia"/>
        </w:rPr>
        <w:t xml:space="preserve"> are coordinates where the subindex </w:t>
      </w:r>
      <m:oMath>
        <m:r>
          <w:rPr>
            <w:rFonts w:ascii="Cambria Math" w:eastAsiaTheme="minorEastAsia" w:hAnsi="Cambria Math"/>
          </w:rPr>
          <m:t>i</m:t>
        </m:r>
      </m:oMath>
      <w:r w:rsidR="00B50E7C">
        <w:rPr>
          <w:rFonts w:eastAsiaTheme="minorEastAsia"/>
        </w:rPr>
        <w:t xml:space="preserve"> refers to the well </w:t>
      </w:r>
      <w:r w:rsidR="00A97D57">
        <w:rPr>
          <w:rFonts w:eastAsiaTheme="minorEastAsia"/>
        </w:rPr>
        <w:t>number</w:t>
      </w:r>
      <w:r w:rsidR="00B50E7C">
        <w:rPr>
          <w:rFonts w:eastAsiaTheme="minorEastAsia"/>
        </w:rPr>
        <w:t xml:space="preserve"> and subindex </w:t>
      </w:r>
      <m:oMath>
        <m:r>
          <w:rPr>
            <w:rFonts w:ascii="Cambria Math" w:eastAsiaTheme="minorEastAsia" w:hAnsi="Cambria Math"/>
          </w:rPr>
          <m:t>p</m:t>
        </m:r>
      </m:oMath>
      <w:r w:rsidR="00B50E7C">
        <w:rPr>
          <w:rFonts w:eastAsiaTheme="minorEastAsia"/>
        </w:rPr>
        <w:t xml:space="preserve"> refers to the fixed point. </w:t>
      </w:r>
    </w:p>
    <w:p w14:paraId="546A4390" w14:textId="77777777" w:rsidR="00E36757" w:rsidRPr="00E36757" w:rsidRDefault="00356142" w:rsidP="00E36757">
      <w:pPr>
        <w:pStyle w:val="Heading2"/>
      </w:pPr>
      <w:r>
        <w:t>Model evaluation metrics</w:t>
      </w:r>
    </w:p>
    <w:p w14:paraId="0BAEBCB0" w14:textId="77777777" w:rsidR="00AB70B8" w:rsidRPr="00062A9C" w:rsidRDefault="00AB70B8" w:rsidP="00AB70B8">
      <w:r w:rsidRPr="00062A9C">
        <w:t xml:space="preserve">A common occurrence in previous works is that </w:t>
      </w:r>
      <w:r w:rsidR="00451A71">
        <w:t>forecasts</w:t>
      </w:r>
      <w:r w:rsidRPr="00062A9C">
        <w:t xml:space="preserve"> of pressure and rate are shifted by the lag used during training</w:t>
      </w:r>
      <w:r w:rsidR="003A6E21">
        <w:t xml:space="preserve"> caused by autocorrelation</w:t>
      </w:r>
      <w:r w:rsidRPr="00062A9C">
        <w:t>. This phenomenon occurs when the input sequence is not informative enough to produce reliable forecasts</w:t>
      </w:r>
      <w:r w:rsidR="005E032D">
        <w:t xml:space="preserve"> (Werneck, R. de O., 2022; Li et al., 2022)</w:t>
      </w:r>
      <w:r w:rsidRPr="00062A9C">
        <w:t xml:space="preserve">. Then, the neural network repeats the last observed value. We use this concept to create </w:t>
      </w:r>
      <w:r w:rsidR="0045415F">
        <w:t>two</w:t>
      </w:r>
      <w:r w:rsidRPr="00062A9C">
        <w:t xml:space="preserve"> basic benchmark </w:t>
      </w:r>
      <w:r w:rsidR="0045415F">
        <w:t xml:space="preserve">metrics </w:t>
      </w:r>
      <w:r w:rsidRPr="00062A9C">
        <w:t>to outperform</w:t>
      </w:r>
      <w:r w:rsidR="00D73E77" w:rsidRPr="00062A9C">
        <w:t xml:space="preserve"> based on </w:t>
      </w:r>
      <w:r w:rsidR="0006386E">
        <w:t>the Mean Absolute Error</w:t>
      </w:r>
      <w:r w:rsidR="00A72FA4">
        <w:t xml:space="preserve"> (MAE)</w:t>
      </w:r>
      <w:r w:rsidR="0006386E">
        <w:t xml:space="preserve"> and Symmetric Mean Absolute Percentage Error</w:t>
      </w:r>
      <w:r w:rsidR="00A72FA4">
        <w:t xml:space="preserve"> (SMAPE)</w:t>
      </w:r>
      <w:r w:rsidR="00D73E77" w:rsidRPr="00062A9C">
        <w:t xml:space="preserve"> </w:t>
      </w:r>
      <w:r w:rsidR="00D73E77" w:rsidRPr="00062A9C">
        <w:lastRenderedPageBreak/>
        <w:t>metric</w:t>
      </w:r>
      <w:r w:rsidR="0045415F">
        <w:t>s</w:t>
      </w:r>
      <w:r w:rsidR="00D73E77" w:rsidRPr="00062A9C">
        <w:t xml:space="preserve"> </w:t>
      </w:r>
      <w:r w:rsidR="002912BF" w:rsidRPr="00062A9C">
        <w:t>in equation</w:t>
      </w:r>
      <w:r w:rsidR="000C6EFB">
        <w:t>s</w:t>
      </w:r>
      <w:r w:rsidR="002912BF" w:rsidRPr="00062A9C">
        <w:t xml:space="preserve"> </w:t>
      </w:r>
      <w:r w:rsidR="00326EA7">
        <w:fldChar w:fldCharType="begin"/>
      </w:r>
      <w:r w:rsidR="00326EA7">
        <w:instrText xml:space="preserve"> REF _Ref127201956 \h </w:instrText>
      </w:r>
      <w:r w:rsidR="00326EA7">
        <w:fldChar w:fldCharType="separate"/>
      </w:r>
      <w:r w:rsidR="00B11BFB">
        <w:rPr>
          <w:noProof/>
        </w:rPr>
        <w:t>8</w:t>
      </w:r>
      <w:r w:rsidR="00326EA7">
        <w:fldChar w:fldCharType="end"/>
      </w:r>
      <w:r w:rsidR="0045415F">
        <w:t xml:space="preserve"> and </w:t>
      </w:r>
      <w:r w:rsidR="00326EA7">
        <w:fldChar w:fldCharType="begin"/>
      </w:r>
      <w:r w:rsidR="00326EA7">
        <w:instrText xml:space="preserve"> REF _Ref127201987 \h </w:instrText>
      </w:r>
      <w:r w:rsidR="00326EA7">
        <w:fldChar w:fldCharType="separate"/>
      </w:r>
      <w:r w:rsidR="00B11BFB">
        <w:rPr>
          <w:noProof/>
        </w:rPr>
        <w:t>9</w:t>
      </w:r>
      <w:r w:rsidR="00326EA7">
        <w:fldChar w:fldCharType="end"/>
      </w:r>
      <w:r w:rsidR="0040525C" w:rsidRPr="00062A9C">
        <w:t xml:space="preserve"> </w:t>
      </w:r>
      <w:r w:rsidR="00D73E77" w:rsidRPr="00062A9C">
        <w:t>(</w:t>
      </w:r>
      <w:r w:rsidR="004D0EA1" w:rsidRPr="00062A9C">
        <w:t>Kubota and Reinert, 2019; Cao et al., 2016; Sun et al., 2018</w:t>
      </w:r>
      <w:r w:rsidR="00D73E77" w:rsidRPr="00062A9C">
        <w:t>)</w:t>
      </w:r>
      <w:r w:rsidRPr="00062A9C">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
        <w:gridCol w:w="8354"/>
        <w:gridCol w:w="613"/>
      </w:tblGrid>
      <w:tr w:rsidR="004D0EA1" w:rsidRPr="00062A9C" w14:paraId="6EB6E3D7" w14:textId="77777777" w:rsidTr="00DA6539">
        <w:trPr>
          <w:jc w:val="center"/>
        </w:trPr>
        <w:tc>
          <w:tcPr>
            <w:tcW w:w="393" w:type="dxa"/>
            <w:vAlign w:val="center"/>
          </w:tcPr>
          <w:p w14:paraId="49896974" w14:textId="77777777" w:rsidR="00AB70B8" w:rsidRPr="00062A9C" w:rsidRDefault="00AB70B8" w:rsidP="00FD0651">
            <w:pPr>
              <w:pStyle w:val="BodyText"/>
              <w:spacing w:before="18" w:line="480" w:lineRule="auto"/>
              <w:ind w:left="0" w:right="144"/>
              <w:jc w:val="center"/>
              <w:rPr>
                <w:rFonts w:asciiTheme="minorHAnsi" w:hAnsiTheme="minorHAnsi" w:cstheme="minorHAnsi"/>
                <w:w w:val="90"/>
              </w:rPr>
            </w:pPr>
          </w:p>
        </w:tc>
        <w:tc>
          <w:tcPr>
            <w:tcW w:w="8354" w:type="dxa"/>
            <w:vAlign w:val="center"/>
          </w:tcPr>
          <w:p w14:paraId="379F65DA" w14:textId="77777777" w:rsidR="00AB70B8" w:rsidRPr="00062A9C" w:rsidRDefault="00D86D4D" w:rsidP="00FD0651">
            <w:pPr>
              <w:spacing w:before="6"/>
              <w:rPr>
                <w:rFonts w:asciiTheme="minorHAnsi" w:eastAsia="Bookman Old Style" w:hAnsiTheme="minorHAnsi" w:cstheme="minorHAnsi"/>
                <w:szCs w:val="24"/>
                <w:lang w:val="es-MX"/>
              </w:rPr>
            </w:pPr>
            <w:proofErr w:type="spellStart"/>
            <m:oMathPara>
              <m:oMathParaPr>
                <m:jc m:val="center"/>
              </m:oMathParaPr>
              <m:oMath>
                <m:r>
                  <m:rPr>
                    <m:nor/>
                  </m:rPr>
                  <w:rPr>
                    <w:rFonts w:ascii="Cambria Math" w:hAnsi="Cambria Math" w:cstheme="minorHAnsi"/>
                    <w:lang w:val="es-MX"/>
                  </w:rPr>
                  <m:t>Benchmark</m:t>
                </m:r>
                <w:proofErr w:type="spellEnd"/>
                <m:r>
                  <w:rPr>
                    <w:rFonts w:ascii="Cambria Math" w:hAnsi="Cambria Math" w:cstheme="minorHAnsi"/>
                    <w:lang w:val="es-MX"/>
                  </w:rPr>
                  <m:t xml:space="preserve"> </m:t>
                </m:r>
                <m:r>
                  <m:rPr>
                    <m:nor/>
                  </m:rPr>
                  <w:rPr>
                    <w:rFonts w:ascii="Cambria Math" w:hAnsi="Cambria Math" w:cstheme="minorHAnsi"/>
                    <w:lang w:val="es-MX"/>
                  </w:rPr>
                  <m:t>MAE</m:t>
                </m:r>
                <m:r>
                  <m:rPr>
                    <m:sty m:val="p"/>
                  </m:rPr>
                  <w:rPr>
                    <w:rFonts w:ascii="Cambria Math" w:hAnsi="Cambria Math" w:cstheme="minorHAnsi"/>
                    <w:lang w:val="es-MX"/>
                  </w:rPr>
                  <m:t>=</m:t>
                </m:r>
                <m:f>
                  <m:fPr>
                    <m:ctrlPr>
                      <w:rPr>
                        <w:rFonts w:ascii="Cambria Math" w:hAnsi="Cambria Math" w:cstheme="minorHAnsi"/>
                      </w:rPr>
                    </m:ctrlPr>
                  </m:fPr>
                  <m:num>
                    <m:r>
                      <w:rPr>
                        <w:rFonts w:ascii="Cambria Math" w:hAnsi="Cambria Math" w:cstheme="minorHAnsi"/>
                        <w:lang w:val="es-MX"/>
                      </w:rPr>
                      <m:t>1</m:t>
                    </m:r>
                    <m:ctrlPr>
                      <w:rPr>
                        <w:rFonts w:ascii="Cambria Math" w:hAnsi="Cambria Math" w:cstheme="minorHAnsi"/>
                        <w:i/>
                      </w:rPr>
                    </m:ctrlPr>
                  </m:num>
                  <m:den>
                    <m:r>
                      <w:rPr>
                        <w:rFonts w:ascii="Cambria Math" w:hAnsi="Cambria Math" w:cstheme="minorHAnsi"/>
                      </w:rPr>
                      <m:t>M</m:t>
                    </m:r>
                  </m:den>
                </m:f>
                <m:nary>
                  <m:naryPr>
                    <m:chr m:val="∑"/>
                    <m:ctrlPr>
                      <w:rPr>
                        <w:rFonts w:ascii="Cambria Math" w:hAnsi="Cambria Math" w:cstheme="minorHAnsi"/>
                        <w:i/>
                      </w:rPr>
                    </m:ctrlPr>
                  </m:naryPr>
                  <m:sub>
                    <m:r>
                      <w:rPr>
                        <w:rFonts w:ascii="Cambria Math" w:hAnsi="Cambria Math" w:cstheme="minorHAnsi"/>
                      </w:rPr>
                      <m:t>i</m:t>
                    </m:r>
                    <m:r>
                      <w:rPr>
                        <w:rFonts w:ascii="Cambria Math" w:hAnsi="Cambria Math" w:cstheme="minorHAnsi"/>
                        <w:lang w:val="es-MX"/>
                      </w:rPr>
                      <m:t>=2</m:t>
                    </m:r>
                  </m:sub>
                  <m:sup>
                    <m:r>
                      <w:rPr>
                        <w:rFonts w:ascii="Cambria Math" w:hAnsi="Cambria Math" w:cstheme="minorHAnsi"/>
                      </w:rPr>
                      <m:t>M</m:t>
                    </m:r>
                  </m:sup>
                  <m:e>
                    <m:d>
                      <m:dPr>
                        <m:begChr m:val="|"/>
                        <m:endChr m:val="|"/>
                        <m:ctrlPr>
                          <w:rPr>
                            <w:rFonts w:ascii="Cambria Math" w:hAnsi="Cambria Math" w:cstheme="minorHAnsi"/>
                          </w:rPr>
                        </m:ctrlPr>
                      </m:dPr>
                      <m:e>
                        <m:sSub>
                          <m:sSubPr>
                            <m:ctrlPr>
                              <w:rPr>
                                <w:rFonts w:ascii="Cambria Math" w:eastAsia="Bookman Old Style" w:hAnsi="Cambria Math" w:cstheme="minorHAnsi"/>
                                <w:i/>
                              </w:rPr>
                            </m:ctrlPr>
                          </m:sSubPr>
                          <m:e>
                            <m:r>
                              <m:rPr>
                                <m:nor/>
                              </m:rPr>
                              <w:rPr>
                                <w:rFonts w:ascii="Cambria Math" w:eastAsia="Bookman Old Style" w:hAnsi="Cambria Math" w:cstheme="minorHAnsi"/>
                                <w:lang w:val="es-MX"/>
                              </w:rPr>
                              <m:t>y</m:t>
                            </m:r>
                          </m:e>
                          <m:sub>
                            <m:r>
                              <w:rPr>
                                <w:rFonts w:ascii="Cambria Math" w:eastAsia="Bookman Old Style" w:hAnsi="Cambria Math" w:cstheme="minorHAnsi"/>
                              </w:rPr>
                              <m:t>i</m:t>
                            </m:r>
                          </m:sub>
                        </m:sSub>
                        <m:r>
                          <m:rPr>
                            <m:nor/>
                          </m:rPr>
                          <w:rPr>
                            <w:rFonts w:ascii="Cambria Math" w:eastAsia="Bookman Old Style" w:hAnsi="Cambria Math" w:cstheme="minorHAnsi"/>
                            <w:lang w:val="es-MX"/>
                          </w:rPr>
                          <m:t xml:space="preserve"> - </m:t>
                        </m:r>
                        <m:sSub>
                          <m:sSubPr>
                            <m:ctrlPr>
                              <w:rPr>
                                <w:rFonts w:ascii="Cambria Math" w:eastAsia="Bookman Old Style" w:hAnsi="Cambria Math" w:cstheme="minorHAnsi"/>
                                <w:i/>
                              </w:rPr>
                            </m:ctrlPr>
                          </m:sSubPr>
                          <m:e>
                            <m:r>
                              <m:rPr>
                                <m:nor/>
                              </m:rPr>
                              <w:rPr>
                                <w:rFonts w:ascii="Cambria Math" w:eastAsia="Bookman Old Style" w:hAnsi="Cambria Math" w:cstheme="minorHAnsi"/>
                                <w:lang w:val="es-MX"/>
                              </w:rPr>
                              <m:t>y</m:t>
                            </m:r>
                            <m:ctrlPr>
                              <w:rPr>
                                <w:rFonts w:ascii="Cambria Math" w:eastAsia="Bookman Old Style" w:hAnsi="Cambria Math" w:cstheme="minorHAnsi"/>
                              </w:rPr>
                            </m:ctrlPr>
                          </m:e>
                          <m:sub>
                            <m:r>
                              <w:rPr>
                                <w:rFonts w:ascii="Cambria Math" w:eastAsia="Bookman Old Style" w:hAnsi="Cambria Math" w:cstheme="minorHAnsi"/>
                              </w:rPr>
                              <m:t>i</m:t>
                            </m:r>
                            <m:r>
                              <w:rPr>
                                <w:rFonts w:ascii="Cambria Math" w:eastAsia="Bookman Old Style" w:hAnsi="Cambria Math" w:cstheme="minorHAnsi"/>
                                <w:lang w:val="es-MX"/>
                              </w:rPr>
                              <m:t>-1</m:t>
                            </m:r>
                          </m:sub>
                        </m:sSub>
                      </m:e>
                    </m:d>
                  </m:e>
                </m:nary>
                <m:r>
                  <w:rPr>
                    <w:rFonts w:ascii="Cambria Math" w:hAnsi="Cambria Math" w:cstheme="minorHAnsi"/>
                    <w:lang w:val="es-MX"/>
                  </w:rPr>
                  <m:t xml:space="preserve"> </m:t>
                </m:r>
                <m:r>
                  <w:rPr>
                    <w:rFonts w:ascii="Cambria Math" w:eastAsia="Bookman Old Style" w:hAnsi="Cambria Math" w:cstheme="minorHAnsi"/>
                    <w:lang w:val="es-MX"/>
                  </w:rPr>
                  <m:t>,</m:t>
                </m:r>
              </m:oMath>
            </m:oMathPara>
          </w:p>
        </w:tc>
        <w:tc>
          <w:tcPr>
            <w:tcW w:w="613" w:type="dxa"/>
            <w:vAlign w:val="center"/>
          </w:tcPr>
          <w:p w14:paraId="79132672" w14:textId="77777777" w:rsidR="00AB70B8" w:rsidRPr="009704CC" w:rsidRDefault="00A139B9" w:rsidP="003D0579">
            <w:pPr>
              <w:pStyle w:val="Caption"/>
            </w:pPr>
            <w:fldSimple w:instr=" SEQ Equation \* ARABIC ">
              <w:bookmarkStart w:id="6" w:name="_Ref127201956"/>
              <w:r w:rsidR="00B11BFB">
                <w:rPr>
                  <w:noProof/>
                </w:rPr>
                <w:t>8</w:t>
              </w:r>
              <w:bookmarkEnd w:id="6"/>
            </w:fldSimple>
          </w:p>
        </w:tc>
      </w:tr>
      <w:tr w:rsidR="00DA6539" w:rsidRPr="00062A9C" w14:paraId="34BD250A" w14:textId="77777777" w:rsidTr="00025F34">
        <w:tblPrEx>
          <w:jc w:val="left"/>
        </w:tblPrEx>
        <w:tc>
          <w:tcPr>
            <w:tcW w:w="393" w:type="dxa"/>
          </w:tcPr>
          <w:p w14:paraId="794F95D4" w14:textId="77777777" w:rsidR="00DA6539" w:rsidRPr="00062A9C" w:rsidRDefault="00DA6539" w:rsidP="0033329D">
            <w:pPr>
              <w:pStyle w:val="BodyText"/>
              <w:spacing w:before="18" w:line="480" w:lineRule="auto"/>
              <w:ind w:left="0" w:right="144"/>
              <w:jc w:val="center"/>
              <w:rPr>
                <w:rFonts w:asciiTheme="minorHAnsi" w:hAnsiTheme="minorHAnsi" w:cstheme="minorHAnsi"/>
                <w:w w:val="90"/>
              </w:rPr>
            </w:pPr>
          </w:p>
        </w:tc>
        <w:tc>
          <w:tcPr>
            <w:tcW w:w="8354" w:type="dxa"/>
          </w:tcPr>
          <w:p w14:paraId="7D33E76A" w14:textId="77777777" w:rsidR="00DA6539" w:rsidRPr="00DA6539" w:rsidRDefault="00DA6539" w:rsidP="0033329D">
            <w:pPr>
              <w:spacing w:before="6"/>
              <w:rPr>
                <w:rFonts w:asciiTheme="minorHAnsi" w:eastAsia="Bookman Old Style" w:hAnsiTheme="minorHAnsi" w:cstheme="minorHAnsi"/>
                <w:szCs w:val="24"/>
              </w:rPr>
            </w:pPr>
            <m:oMathPara>
              <m:oMathParaPr>
                <m:jc m:val="center"/>
              </m:oMathParaPr>
              <m:oMath>
                <m:r>
                  <m:rPr>
                    <m:nor/>
                  </m:rPr>
                  <w:rPr>
                    <w:rFonts w:ascii="Cambria Math" w:hAnsi="Cambria Math" w:cstheme="minorHAnsi"/>
                  </w:rPr>
                  <m:t>Benchmark</m:t>
                </m:r>
                <m:r>
                  <w:rPr>
                    <w:rFonts w:ascii="Cambria Math" w:hAnsi="Cambria Math" w:cstheme="minorHAnsi"/>
                  </w:rPr>
                  <m:t xml:space="preserve"> </m:t>
                </m:r>
                <m:r>
                  <m:rPr>
                    <m:nor/>
                  </m:rPr>
                  <w:rPr>
                    <w:rFonts w:ascii="Cambria Math" w:hAnsi="Cambria Math" w:cstheme="minorHAnsi"/>
                  </w:rPr>
                  <m:t>SMAPE</m:t>
                </m:r>
                <m:r>
                  <m:rPr>
                    <m:sty m:val="p"/>
                  </m:rPr>
                  <w:rPr>
                    <w:rFonts w:ascii="Cambria Math" w:hAnsi="Cambria Math" w:cstheme="minorHAnsi"/>
                  </w:rPr>
                  <m:t>=</m:t>
                </m:r>
                <m:f>
                  <m:fPr>
                    <m:ctrlPr>
                      <w:rPr>
                        <w:rFonts w:ascii="Cambria Math" w:hAnsi="Cambria Math" w:cstheme="minorHAnsi"/>
                      </w:rPr>
                    </m:ctrlPr>
                  </m:fPr>
                  <m:num>
                    <m:r>
                      <w:rPr>
                        <w:rFonts w:ascii="Cambria Math" w:hAnsi="Cambria Math" w:cstheme="minorHAnsi"/>
                      </w:rPr>
                      <m:t>100</m:t>
                    </m:r>
                    <m:ctrlPr>
                      <w:rPr>
                        <w:rFonts w:ascii="Cambria Math" w:hAnsi="Cambria Math" w:cstheme="minorHAnsi"/>
                        <w:i/>
                      </w:rPr>
                    </m:ctrlPr>
                  </m:num>
                  <m:den>
                    <m:r>
                      <w:rPr>
                        <w:rFonts w:ascii="Cambria Math" w:hAnsi="Cambria Math" w:cstheme="minorHAnsi"/>
                      </w:rPr>
                      <m:t>M</m:t>
                    </m:r>
                  </m:den>
                </m:f>
                <m:nary>
                  <m:naryPr>
                    <m:chr m:val="∑"/>
                    <m:ctrlPr>
                      <w:rPr>
                        <w:rFonts w:ascii="Cambria Math" w:hAnsi="Cambria Math" w:cstheme="minorHAnsi"/>
                        <w:i/>
                      </w:rPr>
                    </m:ctrlPr>
                  </m:naryPr>
                  <m:sub>
                    <m:r>
                      <w:rPr>
                        <w:rFonts w:ascii="Cambria Math" w:hAnsi="Cambria Math" w:cstheme="minorHAnsi"/>
                      </w:rPr>
                      <m:t>i=2</m:t>
                    </m:r>
                  </m:sub>
                  <m:sup>
                    <m:r>
                      <w:rPr>
                        <w:rFonts w:ascii="Cambria Math" w:hAnsi="Cambria Math" w:cstheme="minorHAnsi"/>
                      </w:rPr>
                      <m:t>M</m:t>
                    </m:r>
                  </m:sup>
                  <m:e>
                    <m:f>
                      <m:fPr>
                        <m:ctrlPr>
                          <w:rPr>
                            <w:rFonts w:ascii="Cambria Math" w:hAnsi="Cambria Math" w:cstheme="minorHAnsi"/>
                            <w:i/>
                          </w:rPr>
                        </m:ctrlPr>
                      </m:fPr>
                      <m:num>
                        <m:d>
                          <m:dPr>
                            <m:begChr m:val="|"/>
                            <m:endChr m:val="|"/>
                            <m:ctrlPr>
                              <w:rPr>
                                <w:rFonts w:ascii="Cambria Math" w:hAnsi="Cambria Math" w:cstheme="minorHAnsi"/>
                              </w:rPr>
                            </m:ctrlPr>
                          </m:dPr>
                          <m:e>
                            <m:sSub>
                              <m:sSubPr>
                                <m:ctrlPr>
                                  <w:rPr>
                                    <w:rFonts w:ascii="Cambria Math" w:eastAsia="Bookman Old Style" w:hAnsi="Cambria Math" w:cstheme="minorHAnsi"/>
                                    <w:i/>
                                  </w:rPr>
                                </m:ctrlPr>
                              </m:sSubPr>
                              <m:e>
                                <m:r>
                                  <m:rPr>
                                    <m:nor/>
                                  </m:rPr>
                                  <w:rPr>
                                    <w:rFonts w:ascii="Cambria Math" w:eastAsia="Bookman Old Style" w:hAnsi="Cambria Math" w:cstheme="minorHAnsi"/>
                                  </w:rPr>
                                  <m:t>y</m:t>
                                </m:r>
                              </m:e>
                              <m:sub>
                                <m:r>
                                  <w:rPr>
                                    <w:rFonts w:ascii="Cambria Math" w:eastAsia="Bookman Old Style" w:hAnsi="Cambria Math" w:cstheme="minorHAnsi"/>
                                  </w:rPr>
                                  <m:t>i</m:t>
                                </m:r>
                              </m:sub>
                            </m:sSub>
                            <m:r>
                              <w:rPr>
                                <w:rFonts w:ascii="Cambria Math" w:eastAsia="Bookman Old Style" w:hAnsi="Cambria Math" w:cstheme="minorHAnsi"/>
                              </w:rPr>
                              <m:t xml:space="preserve">- </m:t>
                            </m:r>
                            <m:sSub>
                              <m:sSubPr>
                                <m:ctrlPr>
                                  <w:rPr>
                                    <w:rFonts w:ascii="Cambria Math" w:eastAsia="Bookman Old Style" w:hAnsi="Cambria Math" w:cstheme="minorHAnsi"/>
                                    <w:i/>
                                  </w:rPr>
                                </m:ctrlPr>
                              </m:sSubPr>
                              <m:e>
                                <m:r>
                                  <w:rPr>
                                    <w:rFonts w:ascii="Cambria Math" w:eastAsia="Bookman Old Style" w:hAnsi="Cambria Math" w:cstheme="minorHAnsi"/>
                                  </w:rPr>
                                  <m:t>y</m:t>
                                </m:r>
                              </m:e>
                              <m:sub>
                                <m:r>
                                  <w:rPr>
                                    <w:rFonts w:ascii="Cambria Math" w:eastAsia="Bookman Old Style" w:hAnsi="Cambria Math" w:cstheme="minorHAnsi"/>
                                  </w:rPr>
                                  <m:t>i-1</m:t>
                                </m:r>
                              </m:sub>
                            </m:sSub>
                          </m:e>
                        </m:d>
                      </m:num>
                      <m:den>
                        <m:f>
                          <m:fPr>
                            <m:ctrlPr>
                              <w:rPr>
                                <w:rFonts w:ascii="Cambria Math" w:hAnsi="Cambria Math" w:cstheme="minorHAnsi"/>
                                <w:i/>
                              </w:rPr>
                            </m:ctrlPr>
                          </m:fPr>
                          <m:num>
                            <m:d>
                              <m:dPr>
                                <m:begChr m:val="|"/>
                                <m:endChr m:val="|"/>
                                <m:ctrlPr>
                                  <w:rPr>
                                    <w:rFonts w:ascii="Cambria Math" w:hAnsi="Cambria Math" w:cstheme="minorHAnsi"/>
                                    <w:i/>
                                  </w:rPr>
                                </m:ctrlPr>
                              </m:dPr>
                              <m:e>
                                <m:sSub>
                                  <m:sSubPr>
                                    <m:ctrlPr>
                                      <w:rPr>
                                        <w:rFonts w:ascii="Cambria Math" w:eastAsia="Bookman Old Style" w:hAnsi="Cambria Math" w:cstheme="minorHAnsi"/>
                                        <w:i/>
                                      </w:rPr>
                                    </m:ctrlPr>
                                  </m:sSubPr>
                                  <m:e>
                                    <m:r>
                                      <m:rPr>
                                        <m:nor/>
                                      </m:rPr>
                                      <w:rPr>
                                        <w:rFonts w:ascii="Cambria Math" w:eastAsia="Bookman Old Style" w:hAnsi="Cambria Math" w:cstheme="minorHAnsi"/>
                                        <w:lang w:val="es-MX"/>
                                      </w:rPr>
                                      <m:t>y</m:t>
                                    </m:r>
                                  </m:e>
                                  <m:sub>
                                    <m:r>
                                      <w:rPr>
                                        <w:rFonts w:ascii="Cambria Math" w:eastAsia="Bookman Old Style" w:hAnsi="Cambria Math" w:cstheme="minorHAnsi"/>
                                      </w:rPr>
                                      <m:t>i</m:t>
                                    </m:r>
                                  </m:sub>
                                </m:sSub>
                              </m:e>
                            </m:d>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e>
                            </m:d>
                          </m:num>
                          <m:den>
                            <m:r>
                              <w:rPr>
                                <w:rFonts w:ascii="Cambria Math" w:hAnsi="Cambria Math" w:cstheme="minorHAnsi"/>
                              </w:rPr>
                              <m:t>2</m:t>
                            </m:r>
                          </m:den>
                        </m:f>
                      </m:den>
                    </m:f>
                  </m:e>
                </m:nary>
                <m:r>
                  <w:rPr>
                    <w:rFonts w:ascii="Cambria Math" w:hAnsi="Cambria Math" w:cstheme="minorHAnsi"/>
                  </w:rPr>
                  <m:t xml:space="preserve">, </m:t>
                </m:r>
              </m:oMath>
            </m:oMathPara>
          </w:p>
        </w:tc>
        <w:tc>
          <w:tcPr>
            <w:tcW w:w="613" w:type="dxa"/>
          </w:tcPr>
          <w:p w14:paraId="4B41C205" w14:textId="77777777" w:rsidR="00DA6539" w:rsidRPr="00062A9C" w:rsidRDefault="00A139B9" w:rsidP="003D0579">
            <w:pPr>
              <w:pStyle w:val="Caption"/>
              <w:rPr>
                <w:rFonts w:cstheme="minorHAnsi"/>
                <w:i/>
                <w:szCs w:val="22"/>
              </w:rPr>
            </w:pPr>
            <w:fldSimple w:instr=" SEQ Equation \* ARABIC ">
              <w:bookmarkStart w:id="7" w:name="_Ref127201987"/>
              <w:r w:rsidR="00B11BFB">
                <w:rPr>
                  <w:noProof/>
                </w:rPr>
                <w:t>9</w:t>
              </w:r>
              <w:bookmarkEnd w:id="7"/>
            </w:fldSimple>
          </w:p>
        </w:tc>
      </w:tr>
    </w:tbl>
    <w:p w14:paraId="5742C7B3" w14:textId="2884CF2C" w:rsidR="00901428" w:rsidRPr="00062A9C" w:rsidRDefault="00901428" w:rsidP="00901428">
      <w:r w:rsidRPr="00062A9C">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C64260">
        <w:rPr>
          <w:rFonts w:eastAsiaTheme="minorEastAsia"/>
        </w:rPr>
        <w:t xml:space="preserve"> is the testing data value at step </w:t>
      </w:r>
      <m:oMath>
        <m:r>
          <w:rPr>
            <w:rFonts w:ascii="Cambria Math" w:eastAsiaTheme="minorEastAsia" w:hAnsi="Cambria Math"/>
          </w:rPr>
          <m:t>i</m:t>
        </m:r>
      </m:oMath>
      <w:r w:rsidRPr="00062A9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oMath>
      <w:r w:rsidRPr="00062A9C">
        <w:rPr>
          <w:rFonts w:eastAsiaTheme="minorEastAsia"/>
        </w:rPr>
        <w:t xml:space="preserve"> is the testing data value</w:t>
      </w:r>
      <w:r w:rsidR="00741B30">
        <w:rPr>
          <w:rFonts w:eastAsiaTheme="minorEastAsia"/>
        </w:rPr>
        <w:t xml:space="preserve"> at step </w:t>
      </w:r>
      <m:oMath>
        <m:r>
          <w:rPr>
            <w:rFonts w:ascii="Cambria Math" w:eastAsiaTheme="minorEastAsia" w:hAnsi="Cambria Math"/>
          </w:rPr>
          <m:t>i-1,</m:t>
        </m:r>
      </m:oMath>
      <w:r w:rsidR="00E60B0D">
        <w:rPr>
          <w:rFonts w:eastAsiaTheme="minorEastAsia"/>
        </w:rPr>
        <w:t xml:space="preserve"> and M is the total number of testing data values.</w:t>
      </w:r>
    </w:p>
    <w:p w14:paraId="37F3FA6A" w14:textId="77777777" w:rsidR="00D86D4D" w:rsidRPr="00062A9C" w:rsidRDefault="00474ABF" w:rsidP="00D86D4D">
      <w:r>
        <w:t>We evaluate the TFT-based surrogate flow model results</w:t>
      </w:r>
      <w:r w:rsidR="00D86D4D" w:rsidRPr="00062A9C">
        <w:t xml:space="preserve"> with the </w:t>
      </w:r>
      <w:r w:rsidR="007056DD">
        <w:t>MAE</w:t>
      </w:r>
      <w:r w:rsidR="00D86D4D" w:rsidRPr="00062A9C">
        <w:t xml:space="preserve"> in equation </w:t>
      </w:r>
      <w:r w:rsidR="00326EA7">
        <w:fldChar w:fldCharType="begin"/>
      </w:r>
      <w:r w:rsidR="00326EA7">
        <w:instrText xml:space="preserve"> REF _Ref127201994 \h </w:instrText>
      </w:r>
      <w:r w:rsidR="00326EA7">
        <w:fldChar w:fldCharType="separate"/>
      </w:r>
      <w:r w:rsidR="00B11BFB">
        <w:rPr>
          <w:noProof/>
        </w:rPr>
        <w:t>10</w:t>
      </w:r>
      <w:r w:rsidR="00326EA7">
        <w:fldChar w:fldCharType="end"/>
      </w:r>
      <w:r w:rsidR="00D86D4D" w:rsidRPr="00062A9C">
        <w:t xml:space="preserve"> and the SMAPE in equation </w:t>
      </w:r>
      <w:r w:rsidR="00326EA7">
        <w:fldChar w:fldCharType="begin"/>
      </w:r>
      <w:r w:rsidR="00326EA7">
        <w:instrText xml:space="preserve"> REF _Ref127202000 \h </w:instrText>
      </w:r>
      <w:r w:rsidR="00326EA7">
        <w:fldChar w:fldCharType="separate"/>
      </w:r>
      <w:r w:rsidR="00B11BFB">
        <w:rPr>
          <w:noProof/>
        </w:rPr>
        <w:t>11</w:t>
      </w:r>
      <w:r w:rsidR="00326EA7">
        <w:fldChar w:fldCharType="end"/>
      </w:r>
      <w:r w:rsidR="00D86D4D" w:rsidRPr="00062A9C">
        <w:t xml:space="preserve">, which measures the percentage error of the </w:t>
      </w:r>
      <w:r w:rsidR="004D7C41">
        <w:t>forecast</w:t>
      </w:r>
      <w:r w:rsidR="00D86D4D" w:rsidRPr="00062A9C">
        <w:t>ed values.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
        <w:gridCol w:w="8350"/>
        <w:gridCol w:w="615"/>
      </w:tblGrid>
      <w:tr w:rsidR="008634B9" w:rsidRPr="00062A9C" w14:paraId="1358977D" w14:textId="77777777" w:rsidTr="0057057F">
        <w:trPr>
          <w:jc w:val="center"/>
        </w:trPr>
        <w:tc>
          <w:tcPr>
            <w:tcW w:w="395" w:type="dxa"/>
            <w:vAlign w:val="center"/>
          </w:tcPr>
          <w:p w14:paraId="25DA8CED" w14:textId="77777777" w:rsidR="008634B9" w:rsidRPr="00062A9C" w:rsidRDefault="008634B9" w:rsidP="00FD0651">
            <w:pPr>
              <w:pStyle w:val="BodyText"/>
              <w:spacing w:before="18" w:line="480" w:lineRule="auto"/>
              <w:ind w:left="0" w:right="144"/>
              <w:jc w:val="center"/>
              <w:rPr>
                <w:rFonts w:asciiTheme="minorHAnsi" w:hAnsiTheme="minorHAnsi" w:cstheme="minorHAnsi"/>
                <w:w w:val="90"/>
              </w:rPr>
            </w:pPr>
          </w:p>
        </w:tc>
        <w:tc>
          <w:tcPr>
            <w:tcW w:w="8350" w:type="dxa"/>
            <w:vAlign w:val="center"/>
          </w:tcPr>
          <w:p w14:paraId="4C5D2076" w14:textId="77777777" w:rsidR="008634B9" w:rsidRPr="00062A9C" w:rsidRDefault="008634B9" w:rsidP="00FD0651">
            <w:pPr>
              <w:spacing w:before="6"/>
              <w:rPr>
                <w:rFonts w:asciiTheme="minorHAnsi" w:eastAsia="Bookman Old Style" w:hAnsiTheme="minorHAnsi" w:cstheme="minorHAnsi"/>
                <w:szCs w:val="24"/>
              </w:rPr>
            </w:pPr>
            <m:oMathPara>
              <m:oMathParaPr>
                <m:jc m:val="center"/>
              </m:oMathParaPr>
              <m:oMath>
                <m:r>
                  <m:rPr>
                    <m:nor/>
                  </m:rPr>
                  <w:rPr>
                    <w:rFonts w:ascii="Cambria Math" w:hAnsi="Cambria Math" w:cstheme="minorHAnsi"/>
                  </w:rPr>
                  <m:t>MAE</m:t>
                </m:r>
                <m:r>
                  <m:rPr>
                    <m:sty m:val="p"/>
                  </m:rPr>
                  <w:rPr>
                    <w:rFonts w:ascii="Cambria Math" w:hAnsi="Cambria Math" w:cstheme="minorHAnsi"/>
                  </w:rPr>
                  <m:t>=</m:t>
                </m:r>
                <m:f>
                  <m:fPr>
                    <m:ctrlPr>
                      <w:rPr>
                        <w:rFonts w:ascii="Cambria Math" w:hAnsi="Cambria Math" w:cstheme="minorHAnsi"/>
                      </w:rPr>
                    </m:ctrlPr>
                  </m:fPr>
                  <m:num>
                    <m:r>
                      <w:rPr>
                        <w:rFonts w:ascii="Cambria Math" w:hAnsi="Cambria Math" w:cstheme="minorHAnsi"/>
                      </w:rPr>
                      <m:t>1</m:t>
                    </m:r>
                    <m:ctrlPr>
                      <w:rPr>
                        <w:rFonts w:ascii="Cambria Math" w:hAnsi="Cambria Math" w:cstheme="minorHAnsi"/>
                        <w:i/>
                      </w:rPr>
                    </m:ctrlPr>
                  </m:num>
                  <m:den>
                    <m:r>
                      <w:rPr>
                        <w:rFonts w:ascii="Cambria Math" w:hAnsi="Cambria Math" w:cstheme="minorHAnsi"/>
                      </w:rPr>
                      <m:t>M</m:t>
                    </m:r>
                  </m:den>
                </m:f>
                <m:nary>
                  <m:naryPr>
                    <m:chr m:val="∑"/>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M</m:t>
                    </m:r>
                  </m:sup>
                  <m:e>
                    <m:d>
                      <m:dPr>
                        <m:begChr m:val="|"/>
                        <m:endChr m:val="|"/>
                        <m:ctrlPr>
                          <w:rPr>
                            <w:rFonts w:ascii="Cambria Math" w:hAnsi="Cambria Math" w:cstheme="minorHAnsi"/>
                          </w:rPr>
                        </m:ctrlPr>
                      </m:dPr>
                      <m:e>
                        <m:acc>
                          <m:accPr>
                            <m:ctrlPr>
                              <w:rPr>
                                <w:rFonts w:ascii="Cambria Math" w:hAnsi="Cambria Math" w:cstheme="minorHAnsi"/>
                                <w:i/>
                              </w:rPr>
                            </m:ctrlPr>
                          </m:accPr>
                          <m:e>
                            <m:r>
                              <w:rPr>
                                <w:rFonts w:ascii="Cambria Math" w:eastAsia="Bookman Old Style" w:hAnsi="Cambria Math" w:cstheme="minorHAnsi"/>
                              </w:rPr>
                              <m:t>y</m:t>
                            </m:r>
                            <m:ctrlPr>
                              <w:rPr>
                                <w:rFonts w:ascii="Cambria Math" w:eastAsia="Bookman Old Style" w:hAnsi="Cambria Math" w:cstheme="minorHAnsi"/>
                                <w:i/>
                              </w:rPr>
                            </m:ctrlPr>
                          </m:e>
                        </m:acc>
                        <m:r>
                          <w:rPr>
                            <w:rFonts w:ascii="Cambria Math" w:eastAsia="Bookman Old Style" w:hAnsi="Cambria Math" w:cstheme="minorHAnsi"/>
                          </w:rPr>
                          <m:t xml:space="preserve"> - y</m:t>
                        </m:r>
                      </m:e>
                    </m:d>
                  </m:e>
                </m:nary>
                <m:r>
                  <w:rPr>
                    <w:rFonts w:ascii="Cambria Math" w:hAnsi="Cambria Math" w:cstheme="minorHAnsi"/>
                  </w:rPr>
                  <m:t xml:space="preserve">, </m:t>
                </m:r>
              </m:oMath>
            </m:oMathPara>
          </w:p>
        </w:tc>
        <w:tc>
          <w:tcPr>
            <w:tcW w:w="615" w:type="dxa"/>
            <w:vAlign w:val="center"/>
          </w:tcPr>
          <w:p w14:paraId="2BB329D5" w14:textId="77777777" w:rsidR="008634B9" w:rsidRPr="00062A9C" w:rsidRDefault="00A139B9" w:rsidP="003D0579">
            <w:pPr>
              <w:pStyle w:val="Caption"/>
              <w:rPr>
                <w:rFonts w:cstheme="minorHAnsi"/>
                <w:i/>
                <w:szCs w:val="22"/>
              </w:rPr>
            </w:pPr>
            <w:fldSimple w:instr=" SEQ Equation \* ARABIC ">
              <w:bookmarkStart w:id="8" w:name="_Ref127201994"/>
              <w:r w:rsidR="00B11BFB">
                <w:rPr>
                  <w:noProof/>
                </w:rPr>
                <w:t>10</w:t>
              </w:r>
              <w:bookmarkEnd w:id="8"/>
            </w:fldSimple>
          </w:p>
        </w:tc>
      </w:tr>
      <w:tr w:rsidR="008634B9" w:rsidRPr="00062A9C" w14:paraId="42217C2B" w14:textId="77777777" w:rsidTr="0057057F">
        <w:trPr>
          <w:jc w:val="center"/>
        </w:trPr>
        <w:tc>
          <w:tcPr>
            <w:tcW w:w="394" w:type="dxa"/>
            <w:vAlign w:val="center"/>
          </w:tcPr>
          <w:p w14:paraId="48B85859" w14:textId="77777777" w:rsidR="008634B9" w:rsidRPr="00062A9C" w:rsidRDefault="008634B9" w:rsidP="00FD0651">
            <w:pPr>
              <w:pStyle w:val="BodyText"/>
              <w:spacing w:before="18" w:line="480" w:lineRule="auto"/>
              <w:ind w:left="0" w:right="144"/>
              <w:jc w:val="center"/>
              <w:rPr>
                <w:rFonts w:asciiTheme="minorHAnsi" w:hAnsiTheme="minorHAnsi" w:cstheme="minorHAnsi"/>
                <w:w w:val="90"/>
              </w:rPr>
            </w:pPr>
          </w:p>
        </w:tc>
        <w:tc>
          <w:tcPr>
            <w:tcW w:w="8353" w:type="dxa"/>
            <w:vAlign w:val="center"/>
          </w:tcPr>
          <w:p w14:paraId="6322222D" w14:textId="77777777" w:rsidR="008634B9" w:rsidRPr="00062A9C" w:rsidRDefault="008634B9" w:rsidP="00FD0651">
            <w:pPr>
              <w:spacing w:before="6"/>
              <w:rPr>
                <w:rFonts w:asciiTheme="minorHAnsi" w:eastAsia="Bookman Old Style" w:hAnsiTheme="minorHAnsi" w:cstheme="minorHAnsi"/>
                <w:szCs w:val="24"/>
              </w:rPr>
            </w:pPr>
            <m:oMathPara>
              <m:oMathParaPr>
                <m:jc m:val="center"/>
              </m:oMathParaPr>
              <m:oMath>
                <m:r>
                  <m:rPr>
                    <m:nor/>
                  </m:rPr>
                  <w:rPr>
                    <w:rFonts w:ascii="Cambria Math" w:hAnsi="Cambria Math" w:cstheme="minorHAnsi"/>
                  </w:rPr>
                  <m:t>SMAPE</m:t>
                </m:r>
                <m:r>
                  <m:rPr>
                    <m:sty m:val="p"/>
                  </m:rPr>
                  <w:rPr>
                    <w:rFonts w:ascii="Cambria Math" w:hAnsi="Cambria Math" w:cstheme="minorHAnsi"/>
                  </w:rPr>
                  <m:t>=</m:t>
                </m:r>
                <m:f>
                  <m:fPr>
                    <m:ctrlPr>
                      <w:rPr>
                        <w:rFonts w:ascii="Cambria Math" w:hAnsi="Cambria Math" w:cstheme="minorHAnsi"/>
                      </w:rPr>
                    </m:ctrlPr>
                  </m:fPr>
                  <m:num>
                    <m:r>
                      <w:rPr>
                        <w:rFonts w:ascii="Cambria Math" w:hAnsi="Cambria Math" w:cstheme="minorHAnsi"/>
                      </w:rPr>
                      <m:t>100</m:t>
                    </m:r>
                    <m:ctrlPr>
                      <w:rPr>
                        <w:rFonts w:ascii="Cambria Math" w:hAnsi="Cambria Math" w:cstheme="minorHAnsi"/>
                        <w:i/>
                      </w:rPr>
                    </m:ctrlPr>
                  </m:num>
                  <m:den>
                    <m:r>
                      <w:rPr>
                        <w:rFonts w:ascii="Cambria Math" w:hAnsi="Cambria Math" w:cstheme="minorHAnsi"/>
                      </w:rPr>
                      <m:t>M</m:t>
                    </m:r>
                  </m:den>
                </m:f>
                <m:nary>
                  <m:naryPr>
                    <m:chr m:val="∑"/>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M</m:t>
                    </m:r>
                  </m:sup>
                  <m:e>
                    <m:f>
                      <m:fPr>
                        <m:ctrlPr>
                          <w:rPr>
                            <w:rFonts w:ascii="Cambria Math" w:hAnsi="Cambria Math" w:cstheme="minorHAnsi"/>
                            <w:i/>
                          </w:rPr>
                        </m:ctrlPr>
                      </m:fPr>
                      <m:num>
                        <m:d>
                          <m:dPr>
                            <m:begChr m:val="|"/>
                            <m:endChr m:val="|"/>
                            <m:ctrlPr>
                              <w:rPr>
                                <w:rFonts w:ascii="Cambria Math" w:hAnsi="Cambria Math" w:cstheme="minorHAnsi"/>
                              </w:rPr>
                            </m:ctrlPr>
                          </m:dPr>
                          <m:e>
                            <m:acc>
                              <m:accPr>
                                <m:ctrlPr>
                                  <w:rPr>
                                    <w:rFonts w:ascii="Cambria Math" w:hAnsi="Cambria Math" w:cstheme="minorHAnsi"/>
                                    <w:i/>
                                  </w:rPr>
                                </m:ctrlPr>
                              </m:accPr>
                              <m:e>
                                <m:sSub>
                                  <m:sSubPr>
                                    <m:ctrlPr>
                                      <w:rPr>
                                        <w:rFonts w:ascii="Cambria Math" w:eastAsia="Bookman Old Style" w:hAnsi="Cambria Math" w:cstheme="minorHAnsi"/>
                                        <w:i/>
                                      </w:rPr>
                                    </m:ctrlPr>
                                  </m:sSubPr>
                                  <m:e>
                                    <m:r>
                                      <w:rPr>
                                        <w:rFonts w:ascii="Cambria Math" w:eastAsia="Bookman Old Style" w:hAnsi="Cambria Math" w:cstheme="minorHAnsi"/>
                                      </w:rPr>
                                      <m:t>y</m:t>
                                    </m:r>
                                  </m:e>
                                  <m:sub>
                                    <m:r>
                                      <w:rPr>
                                        <w:rFonts w:ascii="Cambria Math" w:eastAsia="Bookman Old Style" w:hAnsi="Cambria Math" w:cstheme="minorHAnsi"/>
                                      </w:rPr>
                                      <m:t>i</m:t>
                                    </m:r>
                                  </m:sub>
                                </m:sSub>
                                <m:ctrlPr>
                                  <w:rPr>
                                    <w:rFonts w:ascii="Cambria Math" w:eastAsia="Bookman Old Style" w:hAnsi="Cambria Math" w:cstheme="minorHAnsi"/>
                                    <w:i/>
                                  </w:rPr>
                                </m:ctrlPr>
                              </m:e>
                            </m:acc>
                            <m:r>
                              <w:rPr>
                                <w:rFonts w:ascii="Cambria Math" w:eastAsia="Bookman Old Style" w:hAnsi="Cambria Math" w:cstheme="minorHAnsi"/>
                              </w:rPr>
                              <m:t xml:space="preserve"> - </m:t>
                            </m:r>
                            <m:sSub>
                              <m:sSubPr>
                                <m:ctrlPr>
                                  <w:rPr>
                                    <w:rFonts w:ascii="Cambria Math" w:eastAsia="Bookman Old Style" w:hAnsi="Cambria Math" w:cstheme="minorHAnsi"/>
                                    <w:i/>
                                  </w:rPr>
                                </m:ctrlPr>
                              </m:sSubPr>
                              <m:e>
                                <m:r>
                                  <w:rPr>
                                    <w:rFonts w:ascii="Cambria Math" w:eastAsia="Bookman Old Style" w:hAnsi="Cambria Math" w:cstheme="minorHAnsi"/>
                                  </w:rPr>
                                  <m:t>y</m:t>
                                </m:r>
                              </m:e>
                              <m:sub>
                                <m:r>
                                  <w:rPr>
                                    <w:rFonts w:ascii="Cambria Math" w:eastAsia="Bookman Old Style" w:hAnsi="Cambria Math" w:cstheme="minorHAnsi"/>
                                  </w:rPr>
                                  <m:t>i</m:t>
                                </m:r>
                              </m:sub>
                            </m:sSub>
                          </m:e>
                        </m:d>
                      </m:num>
                      <m:den>
                        <m:f>
                          <m:fPr>
                            <m:ctrlPr>
                              <w:rPr>
                                <w:rFonts w:ascii="Cambria Math" w:hAnsi="Cambria Math" w:cstheme="minorHAnsi"/>
                                <w:i/>
                              </w:rPr>
                            </m:ctrlPr>
                          </m:fPr>
                          <m:num>
                            <m:d>
                              <m:dPr>
                                <m:begChr m:val="|"/>
                                <m:endChr m:val="|"/>
                                <m:ctrlPr>
                                  <w:rPr>
                                    <w:rFonts w:ascii="Cambria Math" w:hAnsi="Cambria Math" w:cstheme="minorHAnsi"/>
                                    <w:i/>
                                  </w:rPr>
                                </m:ctrlPr>
                              </m:dPr>
                              <m:e>
                                <m:acc>
                                  <m:accPr>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acc>
                              </m:e>
                            </m:d>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d>
                          </m:num>
                          <m:den>
                            <m:r>
                              <w:rPr>
                                <w:rFonts w:ascii="Cambria Math" w:hAnsi="Cambria Math" w:cstheme="minorHAnsi"/>
                              </w:rPr>
                              <m:t>2</m:t>
                            </m:r>
                          </m:den>
                        </m:f>
                      </m:den>
                    </m:f>
                  </m:e>
                </m:nary>
                <m:r>
                  <w:rPr>
                    <w:rFonts w:ascii="Cambria Math" w:hAnsi="Cambria Math" w:cstheme="minorHAnsi"/>
                  </w:rPr>
                  <m:t xml:space="preserve"> ,</m:t>
                </m:r>
              </m:oMath>
            </m:oMathPara>
          </w:p>
        </w:tc>
        <w:tc>
          <w:tcPr>
            <w:tcW w:w="613" w:type="dxa"/>
            <w:vAlign w:val="center"/>
          </w:tcPr>
          <w:p w14:paraId="2F85FC01" w14:textId="77777777" w:rsidR="008634B9" w:rsidRPr="00062A9C" w:rsidRDefault="00A139B9" w:rsidP="003D0579">
            <w:pPr>
              <w:pStyle w:val="Caption"/>
              <w:rPr>
                <w:rFonts w:cstheme="minorHAnsi"/>
                <w:i/>
                <w:szCs w:val="22"/>
              </w:rPr>
            </w:pPr>
            <w:fldSimple w:instr=" SEQ Equation \* ARABIC ">
              <w:bookmarkStart w:id="9" w:name="_Ref127202000"/>
              <w:r w:rsidR="00B11BFB">
                <w:rPr>
                  <w:noProof/>
                </w:rPr>
                <w:t>11</w:t>
              </w:r>
              <w:bookmarkEnd w:id="9"/>
            </w:fldSimple>
          </w:p>
        </w:tc>
      </w:tr>
    </w:tbl>
    <w:p w14:paraId="19A5543E" w14:textId="77777777" w:rsidR="008634B9" w:rsidRPr="00062A9C" w:rsidRDefault="0057057F" w:rsidP="00D86D4D">
      <w:r w:rsidRPr="00062A9C">
        <w:t xml:space="preserve">where </w:t>
      </w:r>
      <m:oMath>
        <m:acc>
          <m:accPr>
            <m:ctrlPr>
              <w:rPr>
                <w:rFonts w:ascii="Cambria Math" w:hAnsi="Cambria Math"/>
                <w:i/>
              </w:rPr>
            </m:ctrlPr>
          </m:accPr>
          <m:e>
            <m:r>
              <w:rPr>
                <w:rFonts w:ascii="Cambria Math" w:hAnsi="Cambria Math"/>
              </w:rPr>
              <m:t>y</m:t>
            </m:r>
          </m:e>
        </m:acc>
      </m:oMath>
      <w:r w:rsidRPr="00062A9C">
        <w:rPr>
          <w:rFonts w:eastAsiaTheme="minorEastAsia"/>
        </w:rPr>
        <w:t xml:space="preserve"> </w:t>
      </w:r>
      <w:r w:rsidR="00354444" w:rsidRPr="00062A9C">
        <w:rPr>
          <w:rFonts w:eastAsiaTheme="minorEastAsia"/>
        </w:rPr>
        <w:t>is</w:t>
      </w:r>
      <w:r w:rsidRPr="00062A9C">
        <w:rPr>
          <w:rFonts w:eastAsiaTheme="minorEastAsia"/>
        </w:rPr>
        <w:t xml:space="preserve"> the </w:t>
      </w:r>
      <w:r w:rsidR="004D7C41">
        <w:rPr>
          <w:rFonts w:eastAsiaTheme="minorEastAsia"/>
        </w:rPr>
        <w:t>forecasted</w:t>
      </w:r>
      <w:r w:rsidRPr="00062A9C">
        <w:rPr>
          <w:rFonts w:eastAsiaTheme="minorEastAsia"/>
        </w:rPr>
        <w:t xml:space="preserve"> value, and </w:t>
      </w:r>
      <m:oMath>
        <m:r>
          <w:rPr>
            <w:rFonts w:ascii="Cambria Math" w:eastAsiaTheme="minorEastAsia" w:hAnsi="Cambria Math"/>
          </w:rPr>
          <m:t>y</m:t>
        </m:r>
      </m:oMath>
      <w:r w:rsidRPr="00062A9C">
        <w:rPr>
          <w:rFonts w:eastAsiaTheme="minorEastAsia"/>
        </w:rPr>
        <w:t xml:space="preserve"> is the </w:t>
      </w:r>
      <w:r w:rsidR="006E075A" w:rsidRPr="00062A9C">
        <w:rPr>
          <w:rFonts w:eastAsiaTheme="minorEastAsia"/>
        </w:rPr>
        <w:t>testing data</w:t>
      </w:r>
      <w:r w:rsidRPr="00062A9C">
        <w:rPr>
          <w:rFonts w:eastAsiaTheme="minorEastAsia"/>
        </w:rPr>
        <w:t xml:space="preserve"> value.</w:t>
      </w:r>
    </w:p>
    <w:p w14:paraId="769D8119" w14:textId="77777777" w:rsidR="00C1688E" w:rsidRDefault="00C1688E" w:rsidP="00C1688E">
      <w:pPr>
        <w:pStyle w:val="Heading2"/>
      </w:pPr>
      <w:r>
        <w:t>Model training and testing</w:t>
      </w:r>
    </w:p>
    <w:p w14:paraId="136E8D3A" w14:textId="5442F55E" w:rsidR="000B2102" w:rsidRDefault="005E4A04" w:rsidP="00926A8C">
      <w:r>
        <w:t>We train</w:t>
      </w:r>
      <w:r w:rsidR="0052458C">
        <w:t xml:space="preserve"> the</w:t>
      </w:r>
      <w:r w:rsidR="008636AA" w:rsidRPr="00062A9C">
        <w:t xml:space="preserve"> TFT-based surrogate flow model</w:t>
      </w:r>
      <w:r w:rsidR="00E03408" w:rsidRPr="00062A9C">
        <w:t xml:space="preserve"> for 100 epochs</w:t>
      </w:r>
      <w:r w:rsidR="00AD61F9">
        <w:t xml:space="preserve"> </w:t>
      </w:r>
      <w:r w:rsidR="00AD61F9" w:rsidRPr="00062A9C">
        <w:t xml:space="preserve">with </w:t>
      </w:r>
      <w:r w:rsidR="002B40F2">
        <w:t xml:space="preserve">the </w:t>
      </w:r>
      <w:r w:rsidR="0039184F">
        <w:t xml:space="preserve">training </w:t>
      </w:r>
      <w:r w:rsidR="002B40F2">
        <w:t>dataset</w:t>
      </w:r>
      <w:r w:rsidR="00AD61F9" w:rsidRPr="00062A9C">
        <w:t xml:space="preserve"> containing </w:t>
      </w:r>
      <w:r w:rsidR="00CE5522">
        <w:t>static</w:t>
      </w:r>
      <w:r w:rsidR="00CE5522" w:rsidRPr="00062A9C">
        <w:t xml:space="preserve"> </w:t>
      </w:r>
      <w:r w:rsidR="00AD61F9" w:rsidRPr="00062A9C">
        <w:t xml:space="preserve">and </w:t>
      </w:r>
      <w:r w:rsidR="00CE5522">
        <w:t>dynamic</w:t>
      </w:r>
      <w:r w:rsidR="00CE5522" w:rsidRPr="00062A9C">
        <w:t xml:space="preserve"> </w:t>
      </w:r>
      <w:r w:rsidR="00E37E9A">
        <w:t>predictor features</w:t>
      </w:r>
      <w:r w:rsidR="00E37E9A" w:rsidRPr="00062A9C">
        <w:t xml:space="preserve"> </w:t>
      </w:r>
      <w:r w:rsidR="00AD61F9" w:rsidRPr="00062A9C">
        <w:t>to make short-term forecasts of</w:t>
      </w:r>
      <w:r w:rsidR="00AD61F9">
        <w:t xml:space="preserve"> water</w:t>
      </w:r>
      <w:r w:rsidR="00AD61F9" w:rsidRPr="00062A9C">
        <w:t xml:space="preserve"> rate</w:t>
      </w:r>
      <w:r w:rsidR="00AD61F9">
        <w:t>, oil rate,</w:t>
      </w:r>
      <w:r w:rsidR="00AD61F9" w:rsidRPr="00062A9C">
        <w:t xml:space="preserve"> and </w:t>
      </w:r>
      <w:r w:rsidR="00AD61F9">
        <w:t xml:space="preserve">water injection </w:t>
      </w:r>
      <w:r w:rsidR="00AD61F9" w:rsidRPr="00062A9C">
        <w:t>pressure</w:t>
      </w:r>
      <w:r w:rsidR="003F5D09" w:rsidRPr="00062A9C">
        <w:t xml:space="preserve">. The selection of the number of epochs </w:t>
      </w:r>
      <w:r w:rsidR="00163AE3">
        <w:t>is</w:t>
      </w:r>
      <w:r w:rsidR="003F5D09" w:rsidRPr="00062A9C">
        <w:t xml:space="preserve"> </w:t>
      </w:r>
      <w:r w:rsidR="00E50D23">
        <w:t>empirical, based on observing the error v</w:t>
      </w:r>
      <w:r w:rsidR="00CD4C88">
        <w:t>ersus</w:t>
      </w:r>
      <w:r w:rsidR="00E50D23">
        <w:t xml:space="preserve"> epoch curves over multiple model training runs for a specific problem</w:t>
      </w:r>
      <w:r w:rsidR="00E03408" w:rsidRPr="00062A9C">
        <w:t>.</w:t>
      </w:r>
      <w:r w:rsidR="00586CA9" w:rsidRPr="00586CA9">
        <w:t xml:space="preserve"> </w:t>
      </w:r>
      <w:r w:rsidR="00586CA9">
        <w:t xml:space="preserve">The training of the model </w:t>
      </w:r>
      <w:r w:rsidR="00537454">
        <w:t>uses</w:t>
      </w:r>
      <w:r w:rsidR="00586CA9">
        <w:t xml:space="preserve"> a train-test methodology</w:t>
      </w:r>
      <w:r w:rsidR="00926A8C" w:rsidRPr="00062A9C">
        <w:t xml:space="preserve"> </w:t>
      </w:r>
      <w:r w:rsidR="00926A8C" w:rsidRPr="00062A9C">
        <w:lastRenderedPageBreak/>
        <w:t>(</w:t>
      </w:r>
      <w:proofErr w:type="spellStart"/>
      <w:r w:rsidR="00926A8C" w:rsidRPr="00062A9C">
        <w:t>Beleites</w:t>
      </w:r>
      <w:proofErr w:type="spellEnd"/>
      <w:r w:rsidR="00926A8C" w:rsidRPr="00062A9C">
        <w:t xml:space="preserve"> and </w:t>
      </w:r>
      <w:proofErr w:type="spellStart"/>
      <w:r w:rsidR="00926A8C" w:rsidRPr="00062A9C">
        <w:t>Salzer</w:t>
      </w:r>
      <w:proofErr w:type="spellEnd"/>
      <w:r w:rsidR="00926A8C" w:rsidRPr="00062A9C">
        <w:t xml:space="preserve">, 2008; </w:t>
      </w:r>
      <w:proofErr w:type="spellStart"/>
      <w:r w:rsidR="00926A8C" w:rsidRPr="00062A9C">
        <w:t>Beleites</w:t>
      </w:r>
      <w:proofErr w:type="spellEnd"/>
      <w:r w:rsidR="00926A8C" w:rsidRPr="00062A9C">
        <w:t xml:space="preserve"> et al., 2013; Xu and Goodacre, 2018).</w:t>
      </w:r>
      <w:r w:rsidR="00D50E88">
        <w:t xml:space="preserve"> </w:t>
      </w:r>
      <w:r w:rsidR="00263E62">
        <w:t>During training, we dynamically standardize the input data to avoid the look-ahead bias.</w:t>
      </w:r>
    </w:p>
    <w:p w14:paraId="132CA857" w14:textId="77777777" w:rsidR="00926A8C" w:rsidRPr="00062A9C" w:rsidRDefault="009B223D" w:rsidP="001344E8">
      <w:r>
        <w:t xml:space="preserve">We use </w:t>
      </w:r>
      <w:r w:rsidR="008466EC">
        <w:t>the</w:t>
      </w:r>
      <w:r>
        <w:t xml:space="preserve"> quantile loss function</w:t>
      </w:r>
      <w:r w:rsidR="0050099B">
        <w:t xml:space="preserve"> to </w:t>
      </w:r>
      <w:proofErr w:type="gramStart"/>
      <w:r w:rsidR="0050099B">
        <w:t>forecast with</w:t>
      </w:r>
      <w:proofErr w:type="gramEnd"/>
      <w:r w:rsidR="0050099B">
        <w:t xml:space="preserve"> uncertainty.</w:t>
      </w:r>
      <w:r w:rsidR="001344E8">
        <w:t xml:space="preserve"> This loss function results in</w:t>
      </w:r>
      <w:r w:rsidR="00083EE0" w:rsidRPr="00062A9C">
        <w:t xml:space="preserve"> non-symmetrical confidence intervals</w:t>
      </w:r>
      <w:r w:rsidR="00BF6241">
        <w:t xml:space="preserve"> </w:t>
      </w:r>
      <w:r w:rsidR="00135C29">
        <w:t>compared</w:t>
      </w:r>
      <w:r w:rsidR="00BF6241">
        <w:t xml:space="preserve"> to previous approaches</w:t>
      </w:r>
      <w:r w:rsidR="00083EE0" w:rsidRPr="00062A9C">
        <w:t xml:space="preserve"> (Maldonado-Cruz and Pyrcz, 2021; Maldonado-Cruz and Pyrcz, 2022).</w:t>
      </w:r>
      <w:r w:rsidR="00ED249F">
        <w:t xml:space="preserve"> To evaluate the uncertainty of a non-sy</w:t>
      </w:r>
      <w:r w:rsidR="0005526A">
        <w:t>m</w:t>
      </w:r>
      <w:r w:rsidR="00ED249F">
        <w:t>metrical distribution</w:t>
      </w:r>
      <w:r w:rsidR="0005526A">
        <w:t>,</w:t>
      </w:r>
      <w:r w:rsidR="00ED249F">
        <w:t xml:space="preserve"> we use the interqua</w:t>
      </w:r>
      <w:r w:rsidR="0005526A">
        <w:t>r</w:t>
      </w:r>
      <w:r w:rsidR="00ED249F">
        <w:t>tile range (IQR)</w:t>
      </w:r>
      <w:r w:rsidR="004B59B8">
        <w:t>,</w:t>
      </w:r>
      <w:r w:rsidR="00ED249F">
        <w:t xml:space="preserve"> the difference between the 75</w:t>
      </w:r>
      <w:r w:rsidR="00ED249F" w:rsidRPr="00091C71">
        <w:rPr>
          <w:vertAlign w:val="superscript"/>
        </w:rPr>
        <w:t>th</w:t>
      </w:r>
      <w:r w:rsidR="00ED249F">
        <w:t xml:space="preserve"> percentile and the 25</w:t>
      </w:r>
      <w:r w:rsidR="00ED249F" w:rsidRPr="00091C71">
        <w:rPr>
          <w:vertAlign w:val="superscript"/>
        </w:rPr>
        <w:t>th</w:t>
      </w:r>
      <w:r w:rsidR="00ED249F">
        <w:t xml:space="preserve"> percentile. The IQR </w:t>
      </w:r>
      <w:r w:rsidR="001F65EC">
        <w:t>measures</w:t>
      </w:r>
      <w:r w:rsidR="00ED249F">
        <w:t xml:space="preserve"> the spread of the </w:t>
      </w:r>
      <w:r w:rsidR="006C038B">
        <w:t xml:space="preserve">middle </w:t>
      </w:r>
      <w:r w:rsidR="00ED249F">
        <w:t xml:space="preserve">50% of the data. </w:t>
      </w:r>
      <w:r w:rsidR="00926A8C" w:rsidRPr="00062A9C">
        <w:t>During training, the output sequence</w:t>
      </w:r>
      <w:r w:rsidR="00926A8C" w:rsidRPr="00062A9C">
        <w:rPr>
          <w:rFonts w:eastAsiaTheme="minorEastAsia"/>
        </w:rPr>
        <w:t xml:space="preserve"> </w:t>
      </w:r>
      <w:r w:rsidR="00926A8C" w:rsidRPr="00062A9C">
        <w:t xml:space="preserve">uses the quantile loss function for training over the </w:t>
      </w:r>
      <w:r w:rsidR="00F3746F">
        <w:t>maximum forecast</w:t>
      </w:r>
      <w:r w:rsidR="00926A8C" w:rsidRPr="00062A9C">
        <w:t xml:space="preserve"> length using equation </w:t>
      </w:r>
      <w:r w:rsidR="00326EA7">
        <w:fldChar w:fldCharType="begin"/>
      </w:r>
      <w:r w:rsidR="00326EA7">
        <w:instrText xml:space="preserve"> REF _Ref127202006 \h </w:instrText>
      </w:r>
      <w:r w:rsidR="00326EA7">
        <w:fldChar w:fldCharType="separate"/>
      </w:r>
      <w:r w:rsidR="00B11BFB">
        <w:rPr>
          <w:noProof/>
        </w:rPr>
        <w:t>12</w:t>
      </w:r>
      <w:r w:rsidR="00326EA7">
        <w:fldChar w:fldCharType="end"/>
      </w:r>
      <w:r w:rsidR="00EE3C79" w:rsidRPr="00062A9C">
        <w:t>.</w:t>
      </w:r>
    </w:p>
    <w:tbl>
      <w:tblPr>
        <w:tblStyle w:val="TableGrid"/>
        <w:tblW w:w="93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
        <w:gridCol w:w="8352"/>
        <w:gridCol w:w="614"/>
      </w:tblGrid>
      <w:tr w:rsidR="00926A8C" w:rsidRPr="00062A9C" w14:paraId="0D1D6722" w14:textId="77777777" w:rsidTr="00FD0651">
        <w:tc>
          <w:tcPr>
            <w:tcW w:w="394" w:type="dxa"/>
          </w:tcPr>
          <w:p w14:paraId="3342C2E9" w14:textId="77777777" w:rsidR="00926A8C" w:rsidRPr="00062A9C" w:rsidRDefault="00926A8C" w:rsidP="00FD0651">
            <w:pPr>
              <w:pStyle w:val="BodyText"/>
              <w:spacing w:before="18" w:line="480" w:lineRule="auto"/>
              <w:ind w:left="0" w:right="144"/>
              <w:jc w:val="center"/>
              <w:rPr>
                <w:rFonts w:asciiTheme="minorHAnsi" w:hAnsiTheme="minorHAnsi" w:cstheme="minorHAnsi"/>
                <w:w w:val="90"/>
              </w:rPr>
            </w:pPr>
          </w:p>
        </w:tc>
        <w:tc>
          <w:tcPr>
            <w:tcW w:w="8352" w:type="dxa"/>
          </w:tcPr>
          <w:p w14:paraId="233C2C0E" w14:textId="77777777" w:rsidR="00926A8C" w:rsidRPr="00062A9C" w:rsidRDefault="00005C10" w:rsidP="00005C10">
            <w:pPr>
              <w:spacing w:before="6"/>
              <w:rPr>
                <w:rFonts w:asciiTheme="minorHAnsi" w:eastAsia="Bookman Old Style" w:hAnsiTheme="minorHAnsi" w:cstheme="minorHAnsi"/>
                <w:szCs w:val="24"/>
              </w:rPr>
            </w:pPr>
            <m:oMathPara>
              <m:oMath>
                <m:r>
                  <w:rPr>
                    <w:rFonts w:ascii="Cambria Math" w:hAnsi="Cambria Math" w:cstheme="minorHAnsi"/>
                  </w:rPr>
                  <m:t>L</m:t>
                </m:r>
                <m:d>
                  <m:dPr>
                    <m:ctrlPr>
                      <w:rPr>
                        <w:rFonts w:ascii="Cambria Math" w:hAnsi="Cambria Math" w:cstheme="minorHAnsi"/>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i</m:t>
                        </m:r>
                      </m:sub>
                    </m:sSub>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r>
                  <m:rPr>
                    <m:sty m:val="p"/>
                  </m:rPr>
                  <w:rPr>
                    <w:rFonts w:ascii="Cambria Math" w:hAnsi="Cambria Math" w:cstheme="minorHAnsi"/>
                  </w:rPr>
                  <m:t>max</m:t>
                </m:r>
                <m:r>
                  <w:rPr>
                    <w:rFonts w:ascii="Cambria Math" w:hAnsi="Cambria Math" w:cstheme="minorHAnsi"/>
                  </w:rPr>
                  <m:t>⁡[q</m:t>
                </m:r>
                <m:d>
                  <m:dPr>
                    <m:ctrlPr>
                      <w:rPr>
                        <w:rFonts w:ascii="Cambria Math" w:hAnsi="Cambria Math" w:cstheme="minorHAnsi"/>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i</m:t>
                        </m:r>
                      </m:sub>
                    </m:sSub>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d>
                  <m:dPr>
                    <m:ctrlPr>
                      <w:rPr>
                        <w:rFonts w:ascii="Cambria Math" w:hAnsi="Cambria Math" w:cstheme="minorHAnsi"/>
                        <w:i/>
                        <w:iCs/>
                      </w:rPr>
                    </m:ctrlPr>
                  </m:dPr>
                  <m:e>
                    <m:r>
                      <w:rPr>
                        <w:rFonts w:ascii="Cambria Math" w:hAnsi="Cambria Math" w:cstheme="minorHAnsi"/>
                      </w:rPr>
                      <m:t>q-1</m:t>
                    </m:r>
                  </m:e>
                </m:d>
                <m:d>
                  <m:dPr>
                    <m:ctrlPr>
                      <w:rPr>
                        <w:rFonts w:ascii="Cambria Math" w:hAnsi="Cambria Math" w:cstheme="minorHAnsi"/>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i</m:t>
                        </m:r>
                      </m:sub>
                    </m:sSub>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y</m:t>
                        </m:r>
                      </m:e>
                      <m:sub>
                        <m:r>
                          <w:rPr>
                            <w:rFonts w:ascii="Cambria Math" w:hAnsi="Cambria Math" w:cstheme="minorHAnsi"/>
                          </w:rPr>
                          <m:t>i</m:t>
                        </m:r>
                      </m:sub>
                    </m:sSub>
                  </m:e>
                </m:d>
                <m:r>
                  <w:rPr>
                    <w:rFonts w:ascii="Cambria Math" w:eastAsiaTheme="minorEastAsia" w:hAnsi="Cambria Math" w:cstheme="minorHAnsi"/>
                  </w:rPr>
                  <m:t>,</m:t>
                </m:r>
              </m:oMath>
            </m:oMathPara>
          </w:p>
        </w:tc>
        <w:tc>
          <w:tcPr>
            <w:tcW w:w="614" w:type="dxa"/>
          </w:tcPr>
          <w:p w14:paraId="5672CC88" w14:textId="77777777" w:rsidR="00926A8C" w:rsidRPr="00062A9C" w:rsidRDefault="00A139B9" w:rsidP="003D0579">
            <w:pPr>
              <w:pStyle w:val="Caption"/>
              <w:rPr>
                <w:rFonts w:cstheme="minorHAnsi"/>
                <w:i/>
                <w:szCs w:val="22"/>
              </w:rPr>
            </w:pPr>
            <w:fldSimple w:instr=" SEQ Equation \* ARABIC ">
              <w:bookmarkStart w:id="10" w:name="_Ref127202006"/>
              <w:r w:rsidR="00B11BFB">
                <w:rPr>
                  <w:noProof/>
                </w:rPr>
                <w:t>12</w:t>
              </w:r>
              <w:bookmarkEnd w:id="10"/>
            </w:fldSimple>
          </w:p>
        </w:tc>
      </w:tr>
    </w:tbl>
    <w:p w14:paraId="3C0A4224" w14:textId="77777777" w:rsidR="00774336" w:rsidRDefault="00005C10" w:rsidP="00CD305F">
      <w:pPr>
        <w:rPr>
          <w:bCs/>
        </w:rPr>
      </w:pPr>
      <w:r w:rsidRPr="00062A9C">
        <w:t xml:space="preserve">Where </w:t>
      </w:r>
      <m:oMath>
        <m:r>
          <w:rPr>
            <w:rFonts w:ascii="Cambria Math" w:hAnsi="Cambria Math"/>
          </w:rPr>
          <m:t>q</m:t>
        </m:r>
      </m:oMath>
      <w:r w:rsidRPr="00062A9C">
        <w:t xml:space="preserve"> is a quantile,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i</m:t>
            </m:r>
          </m:sub>
        </m:sSub>
      </m:oMath>
      <w:r w:rsidRPr="00062A9C">
        <w:t xml:space="preserve"> is the </w:t>
      </w:r>
      <w:r w:rsidR="00093A6C">
        <w:t>forecast</w:t>
      </w:r>
      <w:r w:rsidR="006E075A" w:rsidRPr="00062A9C">
        <w:t>ed value</w:t>
      </w:r>
      <w:r w:rsidRPr="00062A9C">
        <w:t xml:space="preserve"> and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062A9C">
        <w:t xml:space="preserve"> is the tes</w:t>
      </w:r>
      <w:r w:rsidR="006E075A" w:rsidRPr="00062A9C">
        <w:t>ting data value.</w:t>
      </w:r>
      <w:r w:rsidR="007B6C26" w:rsidRPr="00062A9C">
        <w:t xml:space="preserve"> If we select </w:t>
      </w:r>
      <m:oMath>
        <m:r>
          <w:rPr>
            <w:rFonts w:ascii="Cambria Math" w:hAnsi="Cambria Math"/>
          </w:rPr>
          <m:t>q = 0.5</m:t>
        </m:r>
      </m:oMath>
      <w:r w:rsidR="00CD305F" w:rsidRPr="00062A9C">
        <w:t xml:space="preserve"> and perform </w:t>
      </w:r>
      <w:r w:rsidR="007B6C26" w:rsidRPr="00062A9C">
        <w:t>training with the quantile loss</w:t>
      </w:r>
      <w:r w:rsidR="00C4646D" w:rsidRPr="00062A9C">
        <w:t>,</w:t>
      </w:r>
      <w:r w:rsidR="00CD305F" w:rsidRPr="00062A9C">
        <w:t xml:space="preserve"> then the MAE function</w:t>
      </w:r>
      <w:r w:rsidR="007B6C26" w:rsidRPr="00062A9C">
        <w:t xml:space="preserve"> has its </w:t>
      </w:r>
      <w:r w:rsidR="007B6C26" w:rsidRPr="00062A9C">
        <w:rPr>
          <w:bCs/>
        </w:rPr>
        <w:t>minimum at the median</w:t>
      </w:r>
      <w:r w:rsidR="00CD305F" w:rsidRPr="00062A9C">
        <w:rPr>
          <w:bCs/>
        </w:rPr>
        <w:t>.</w:t>
      </w:r>
    </w:p>
    <w:p w14:paraId="70984128" w14:textId="77777777" w:rsidR="003B5D26" w:rsidRPr="00062A9C" w:rsidRDefault="003B5D26" w:rsidP="003B5D26">
      <w:pPr>
        <w:pStyle w:val="Heading2"/>
      </w:pPr>
      <w:r>
        <w:t xml:space="preserve">Hyperparameter </w:t>
      </w:r>
      <w:r w:rsidR="003958CD">
        <w:t>tuning.</w:t>
      </w:r>
    </w:p>
    <w:p w14:paraId="1C0892D2" w14:textId="16986CA7" w:rsidR="00BA7ADC" w:rsidRDefault="00451E3A" w:rsidP="00BF6AB1">
      <w:r w:rsidRPr="00062A9C">
        <w:t>To select which hyperparameter to tune, we first quantify hyperparameter importance</w:t>
      </w:r>
      <w:r w:rsidR="0086585A">
        <w:t xml:space="preserve"> by </w:t>
      </w:r>
      <w:r w:rsidR="0036145D">
        <w:t>using functional analysis of variance</w:t>
      </w:r>
      <w:proofErr w:type="gramStart"/>
      <w:r w:rsidR="0036145D">
        <w:t>, this</w:t>
      </w:r>
      <w:proofErr w:type="gramEnd"/>
      <w:r w:rsidR="0036145D">
        <w:t xml:space="preserve"> method partitions the observed variation into components due to each of its hyperparameters</w:t>
      </w:r>
      <w:r w:rsidR="006912BD">
        <w:t xml:space="preserve"> </w:t>
      </w:r>
      <w:r w:rsidRPr="00062A9C">
        <w:t>(</w:t>
      </w:r>
      <w:proofErr w:type="spellStart"/>
      <w:r w:rsidRPr="00062A9C">
        <w:t>Hutter</w:t>
      </w:r>
      <w:proofErr w:type="spellEnd"/>
      <w:r w:rsidRPr="00062A9C">
        <w:t xml:space="preserve"> et al., 2014).</w:t>
      </w:r>
      <w:r w:rsidR="00C4646D" w:rsidRPr="00062A9C">
        <w:t xml:space="preserve"> </w:t>
      </w:r>
      <w:r w:rsidR="008636AA" w:rsidRPr="00062A9C">
        <w:t xml:space="preserve">The hyperparameters selected for tuning are </w:t>
      </w:r>
      <w:r w:rsidR="001770A7" w:rsidRPr="00062A9C">
        <w:t>d</w:t>
      </w:r>
      <w:r w:rsidR="008636AA" w:rsidRPr="00062A9C">
        <w:t xml:space="preserve">ropout, </w:t>
      </w:r>
      <w:r w:rsidR="001770A7" w:rsidRPr="00062A9C">
        <w:t>l</w:t>
      </w:r>
      <w:r w:rsidR="008636AA" w:rsidRPr="00062A9C">
        <w:t xml:space="preserve">earning rate, </w:t>
      </w:r>
      <w:r w:rsidR="001770A7" w:rsidRPr="00062A9C">
        <w:t>a</w:t>
      </w:r>
      <w:r w:rsidR="008636AA" w:rsidRPr="00062A9C">
        <w:t xml:space="preserve">ttention head size, </w:t>
      </w:r>
      <w:r w:rsidR="001770A7" w:rsidRPr="00062A9C">
        <w:t>g</w:t>
      </w:r>
      <w:r w:rsidR="008636AA" w:rsidRPr="00062A9C">
        <w:t>radient clipping</w:t>
      </w:r>
      <w:r w:rsidR="00B35C37" w:rsidRPr="00062A9C">
        <w:t>,</w:t>
      </w:r>
      <w:r w:rsidR="008636AA" w:rsidRPr="00062A9C">
        <w:t xml:space="preserve"> and hidden size of the network</w:t>
      </w:r>
      <w:r w:rsidR="001770A7" w:rsidRPr="00062A9C">
        <w:t>.</w:t>
      </w:r>
      <w:r w:rsidR="000508B1" w:rsidRPr="000508B1">
        <w:t xml:space="preserve"> </w:t>
      </w:r>
      <w:r w:rsidR="000508B1">
        <w:t>Dropout is a regularization technique used in deep learning to prevent overfitting</w:t>
      </w:r>
      <w:r w:rsidR="00572D41">
        <w:t xml:space="preserve"> (</w:t>
      </w:r>
      <w:r w:rsidR="009758CD">
        <w:t xml:space="preserve">the model </w:t>
      </w:r>
      <w:r w:rsidR="00FE79E4">
        <w:t>fits noise</w:t>
      </w:r>
      <w:r w:rsidR="00FD6205">
        <w:t xml:space="preserve"> or idiosyncrasies</w:t>
      </w:r>
      <w:r w:rsidR="00572D41">
        <w:t>)</w:t>
      </w:r>
      <w:r w:rsidR="000508B1">
        <w:t xml:space="preserve"> by randomly setting neurons to zero during training </w:t>
      </w:r>
      <w:r w:rsidR="00D16192">
        <w:t>(Hastie et al., 2009)</w:t>
      </w:r>
      <w:r w:rsidR="000508B1">
        <w:t>.</w:t>
      </w:r>
      <w:r w:rsidR="00D33D4C" w:rsidRPr="00D33D4C">
        <w:t xml:space="preserve"> </w:t>
      </w:r>
      <w:r w:rsidR="00D33D4C">
        <w:t>The learning rate controls the step size t</w:t>
      </w:r>
      <w:r w:rsidR="00EF28CE">
        <w:t>he optimization algorithm takes</w:t>
      </w:r>
      <w:r w:rsidR="00D33D4C">
        <w:t xml:space="preserve"> during the training process and </w:t>
      </w:r>
      <w:r w:rsidR="00D33D4C">
        <w:lastRenderedPageBreak/>
        <w:t>determines how quickly the model updates its parameters in response to the error or loss function.</w:t>
      </w:r>
      <w:r w:rsidR="00E042A3">
        <w:t xml:space="preserve"> The attention head size refers to the number of attention heads used in </w:t>
      </w:r>
      <w:r w:rsidR="008D1C4D">
        <w:t>the model</w:t>
      </w:r>
      <w:r w:rsidR="007068F2">
        <w:t>. Larger attention head sizes can capture more complex relationships but require more comput</w:t>
      </w:r>
      <w:r w:rsidR="008B505B">
        <w:t>ing</w:t>
      </w:r>
      <w:r w:rsidR="007068F2">
        <w:t xml:space="preserve"> and memory to train and run.</w:t>
      </w:r>
      <w:r w:rsidR="00A86BD7" w:rsidRPr="00A86BD7">
        <w:t xml:space="preserve"> </w:t>
      </w:r>
      <w:r w:rsidR="00A86BD7">
        <w:t>Gradient clipping prevents the gradients from becoming too large during the training of a neural network</w:t>
      </w:r>
      <w:r w:rsidR="00D64B09">
        <w:t xml:space="preserve"> </w:t>
      </w:r>
      <w:r w:rsidR="00434B07">
        <w:t>(</w:t>
      </w:r>
      <w:r w:rsidR="00D64B09">
        <w:t>Goodfellow</w:t>
      </w:r>
      <w:r w:rsidR="000307CA">
        <w:t xml:space="preserve"> et al., 2016</w:t>
      </w:r>
      <w:r w:rsidR="00434B07">
        <w:t>)</w:t>
      </w:r>
      <w:r w:rsidR="00A86BD7">
        <w:t>.</w:t>
      </w:r>
      <w:r w:rsidR="008318D4">
        <w:t xml:space="preserve"> </w:t>
      </w:r>
      <w:r w:rsidR="003F2703">
        <w:t xml:space="preserve">Finally, </w:t>
      </w:r>
      <w:r w:rsidR="0082185A">
        <w:t xml:space="preserve">the </w:t>
      </w:r>
      <w:r w:rsidR="003F2703">
        <w:t>h</w:t>
      </w:r>
      <w:r w:rsidR="008318D4">
        <w:t>idden size of a neural network refers to the number of neurons in the hidden layer of the network</w:t>
      </w:r>
      <w:r w:rsidR="00C4006E">
        <w:t xml:space="preserve"> (</w:t>
      </w:r>
      <w:proofErr w:type="spellStart"/>
      <w:r w:rsidR="00C4006E">
        <w:t>Le</w:t>
      </w:r>
      <w:r w:rsidR="00D51252">
        <w:t>C</w:t>
      </w:r>
      <w:r w:rsidR="00C4006E">
        <w:t>un</w:t>
      </w:r>
      <w:proofErr w:type="spellEnd"/>
      <w:r w:rsidR="00C4006E">
        <w:t xml:space="preserve"> et al., 2015)</w:t>
      </w:r>
      <w:r w:rsidR="0082185A">
        <w:t>. This hyperparameter determines the capacity of the network to learn complex patterns and relationships from the data.</w:t>
      </w:r>
      <w:r w:rsidR="006F5F2B">
        <w:t xml:space="preserve"> </w:t>
      </w:r>
      <w:r w:rsidR="001A4BAB" w:rsidRPr="00062A9C">
        <w:t>The rest of the hyperparameters maintain their default values.</w:t>
      </w:r>
      <w:r w:rsidR="003C12AF" w:rsidRPr="00062A9C">
        <w:t xml:space="preserve"> </w:t>
      </w:r>
    </w:p>
    <w:p w14:paraId="0FF53C5D" w14:textId="77777777" w:rsidR="00960A34" w:rsidRDefault="00BA7ADC" w:rsidP="00BA7ADC">
      <w:pPr>
        <w:pStyle w:val="Heading2"/>
      </w:pPr>
      <w:r>
        <w:t>Interpretability analysis</w:t>
      </w:r>
      <w:r w:rsidR="00960A34">
        <w:t xml:space="preserve"> of attention heads</w:t>
      </w:r>
    </w:p>
    <w:p w14:paraId="4E19667E" w14:textId="543DB79A" w:rsidR="005720EE" w:rsidRDefault="008867E9" w:rsidP="00D74138">
      <w:r>
        <w:t xml:space="preserve">To improve </w:t>
      </w:r>
      <w:r w:rsidR="008B4284">
        <w:t>interpretability</w:t>
      </w:r>
      <w:r w:rsidR="004A352A">
        <w:t>,</w:t>
      </w:r>
      <w:r w:rsidR="008B4284">
        <w:t xml:space="preserve"> we propose </w:t>
      </w:r>
      <w:r w:rsidR="004A352A">
        <w:t>using</w:t>
      </w:r>
      <w:r w:rsidR="008B4284">
        <w:t xml:space="preserve"> SHAP values to relate forecasts to attention head weights at each time step. W</w:t>
      </w:r>
      <w:r w:rsidR="006E797E">
        <w:t xml:space="preserve">e extract the attention head weights </w:t>
      </w:r>
      <w:r w:rsidR="00437800">
        <w:t>from</w:t>
      </w:r>
      <w:r w:rsidR="00E3798B">
        <w:t xml:space="preserve"> the encoder and decoder at</w:t>
      </w:r>
      <w:r w:rsidR="006E797E">
        <w:t xml:space="preserve"> every time step </w:t>
      </w:r>
      <w:r w:rsidR="001C68A6">
        <w:t xml:space="preserve">of the </w:t>
      </w:r>
      <w:r>
        <w:t>testing</w:t>
      </w:r>
      <w:r w:rsidR="001C68A6">
        <w:t xml:space="preserve"> dataset</w:t>
      </w:r>
      <w:r w:rsidR="009E6C97">
        <w:t>.</w:t>
      </w:r>
      <w:r w:rsidR="00C75A3E">
        <w:t xml:space="preserve"> </w:t>
      </w:r>
      <w:r w:rsidR="003C2381">
        <w:t xml:space="preserve">Each attention head has a dimension of </w:t>
      </w:r>
      <m:oMath>
        <m:r>
          <w:rPr>
            <w:rFonts w:ascii="Cambria Math" w:hAnsi="Cambria Math"/>
          </w:rPr>
          <m:t>n</m:t>
        </m:r>
      </m:oMath>
      <w:r w:rsidR="003C2381">
        <w:rPr>
          <w:rFonts w:eastAsiaTheme="minorEastAsia"/>
        </w:rPr>
        <w:t xml:space="preserve">, by </w:t>
      </w:r>
      <m:oMath>
        <m:r>
          <w:rPr>
            <w:rFonts w:ascii="Cambria Math" w:eastAsiaTheme="minorEastAsia" w:hAnsi="Cambria Math"/>
          </w:rPr>
          <m:t>k</m:t>
        </m:r>
      </m:oMath>
      <w:r w:rsidR="003C2381">
        <w:rPr>
          <w:rFonts w:eastAsiaTheme="minorEastAsia"/>
        </w:rPr>
        <w:t>, w</w:t>
      </w:r>
      <w:r w:rsidR="00555E7D">
        <w:rPr>
          <w:rFonts w:eastAsiaTheme="minorEastAsia"/>
        </w:rPr>
        <w:t xml:space="preserve">here </w:t>
      </w:r>
      <m:oMath>
        <m:r>
          <w:rPr>
            <w:rFonts w:ascii="Cambria Math" w:eastAsiaTheme="minorEastAsia" w:hAnsi="Cambria Math"/>
          </w:rPr>
          <m:t>n</m:t>
        </m:r>
      </m:oMath>
      <w:r w:rsidR="00555E7D">
        <w:rPr>
          <w:rFonts w:eastAsiaTheme="minorEastAsia"/>
        </w:rPr>
        <w:t xml:space="preserve"> is the number of predictor features</w:t>
      </w:r>
      <w:r w:rsidR="009424E8">
        <w:rPr>
          <w:rFonts w:eastAsiaTheme="minorEastAsia"/>
        </w:rPr>
        <w:t>,</w:t>
      </w:r>
      <w:r w:rsidR="00555E7D">
        <w:rPr>
          <w:rFonts w:eastAsiaTheme="minorEastAsia"/>
        </w:rPr>
        <w:t xml:space="preserve"> and </w:t>
      </w:r>
      <m:oMath>
        <m:r>
          <w:rPr>
            <w:rFonts w:ascii="Cambria Math" w:eastAsiaTheme="minorEastAsia" w:hAnsi="Cambria Math"/>
          </w:rPr>
          <m:t>k</m:t>
        </m:r>
      </m:oMath>
      <w:r w:rsidR="00555E7D">
        <w:rPr>
          <w:rFonts w:eastAsiaTheme="minorEastAsia"/>
        </w:rPr>
        <w:t xml:space="preserve"> is the size of the</w:t>
      </w:r>
      <w:r w:rsidR="00A31450">
        <w:rPr>
          <w:rFonts w:eastAsiaTheme="minorEastAsia"/>
        </w:rPr>
        <w:t xml:space="preserve"> </w:t>
      </w:r>
      <w:r w:rsidR="00A31450">
        <w:t>encoder length (look-back periods) or prediction length (forecast periods)</w:t>
      </w:r>
      <w:r w:rsidR="00555E7D">
        <w:rPr>
          <w:rFonts w:eastAsiaTheme="minorEastAsia"/>
        </w:rPr>
        <w:t>, each with corresponding attention weights</w:t>
      </w:r>
      <w:r w:rsidR="00555E7D">
        <w:t>.</w:t>
      </w:r>
      <w:r w:rsidR="00C75A3E">
        <w:t xml:space="preserve"> We then use </w:t>
      </w:r>
      <w:r w:rsidR="004F6FA1">
        <w:t>a tree</w:t>
      </w:r>
      <w:r w:rsidR="00E16EDD">
        <w:t>-</w:t>
      </w:r>
      <w:r w:rsidR="004F6FA1">
        <w:t>based</w:t>
      </w:r>
      <w:r w:rsidR="00C75A3E">
        <w:t xml:space="preserve"> model</w:t>
      </w:r>
      <w:r w:rsidR="00E16EDD">
        <w:t xml:space="preserve"> (i.e.</w:t>
      </w:r>
      <w:r w:rsidR="00B47D98">
        <w:t>,</w:t>
      </w:r>
      <w:r w:rsidR="00E16EDD">
        <w:t xml:space="preserve"> random forest)</w:t>
      </w:r>
      <w:r w:rsidR="00C75A3E">
        <w:t xml:space="preserve"> to compute SHAP values</w:t>
      </w:r>
      <w:r w:rsidR="00496460">
        <w:t xml:space="preserve"> (Lundberg et al.,</w:t>
      </w:r>
      <w:r w:rsidR="00ED24B0">
        <w:t xml:space="preserve"> </w:t>
      </w:r>
      <w:r w:rsidR="00E42847">
        <w:t>2018</w:t>
      </w:r>
      <w:r w:rsidR="00496460">
        <w:t>)</w:t>
      </w:r>
      <w:r w:rsidR="00C75A3E">
        <w:t xml:space="preserve">, which </w:t>
      </w:r>
      <w:proofErr w:type="gramStart"/>
      <w:r w:rsidR="00C75A3E">
        <w:t>relate</w:t>
      </w:r>
      <w:proofErr w:type="gramEnd"/>
      <w:r w:rsidR="00C75A3E">
        <w:t xml:space="preserve"> the forecasts to attention head weights for each time step.</w:t>
      </w:r>
      <w:r w:rsidR="00E678B8">
        <w:t xml:space="preserve"> </w:t>
      </w:r>
      <w:r w:rsidR="008D2D0A">
        <w:t>Tree</w:t>
      </w:r>
      <w:r w:rsidR="006208B2">
        <w:t>-</w:t>
      </w:r>
      <w:r w:rsidR="008D2D0A">
        <w:t>based models allow fast and accurate calculation of Shapley values through tree pruning to determine all necessary marginal contributions from a single model.</w:t>
      </w:r>
      <w:r w:rsidR="00E678B8">
        <w:t xml:space="preserve"> </w:t>
      </w:r>
      <w:r w:rsidR="00C75A3E">
        <w:t xml:space="preserve"> </w:t>
      </w:r>
      <w:proofErr w:type="gramStart"/>
      <w:r w:rsidR="00C75A3E">
        <w:t>Plotting</w:t>
      </w:r>
      <w:proofErr w:type="gramEnd"/>
      <w:r w:rsidR="00C75A3E">
        <w:t xml:space="preserve"> attention head weights at each time step provides a basic interpretation, but as problem complexity and the number of features increas</w:t>
      </w:r>
      <w:r w:rsidR="000B524C">
        <w:t>e</w:t>
      </w:r>
      <w:r w:rsidR="009C1C4D">
        <w:t>,</w:t>
      </w:r>
      <w:r w:rsidR="00C75A3E">
        <w:t xml:space="preserve"> we need a robust method such as Shapley values to attribute feature importance. </w:t>
      </w:r>
      <w:r w:rsidR="00A431B9">
        <w:t xml:space="preserve">The underlying </w:t>
      </w:r>
      <w:r w:rsidR="004A45FD">
        <w:t>principle</w:t>
      </w:r>
      <w:r w:rsidR="00A431B9">
        <w:t xml:space="preserve"> of SHAP feature importance is based on the size of the absolute Shapley values, </w:t>
      </w:r>
      <w:r w:rsidR="00A431B9">
        <w:lastRenderedPageBreak/>
        <w:t>with greater values indicating greater importance</w:t>
      </w:r>
      <w:r w:rsidR="00127D02">
        <w:t xml:space="preserve">. </w:t>
      </w:r>
      <w:r w:rsidR="00A431B9">
        <w:t>To derive the overall importance, the average of the absolute Shapley values is computed for each predictor feature across the entire dataset, as depicted in</w:t>
      </w:r>
      <w:r w:rsidR="00127D02">
        <w:t xml:space="preserve"> Equation </w:t>
      </w:r>
      <w:r w:rsidR="00DF6A58">
        <w:fldChar w:fldCharType="begin"/>
      </w:r>
      <w:r w:rsidR="00DF6A58">
        <w:instrText xml:space="preserve"> REF _Ref129047814 \h </w:instrText>
      </w:r>
      <w:r w:rsidR="00D74138">
        <w:instrText xml:space="preserve"> \* MERGEFORMAT </w:instrText>
      </w:r>
      <w:r w:rsidR="00DF6A58">
        <w:fldChar w:fldCharType="separate"/>
      </w:r>
      <w:r w:rsidR="00B11BFB">
        <w:rPr>
          <w:noProof/>
        </w:rPr>
        <w:t>13</w:t>
      </w:r>
      <w:r w:rsidR="00DF6A58">
        <w:fldChar w:fldCharType="end"/>
      </w:r>
      <w:r w:rsidR="00C75A3E">
        <w:t>.</w:t>
      </w:r>
    </w:p>
    <w:tbl>
      <w:tblPr>
        <w:tblStyle w:val="TableGrid"/>
        <w:tblW w:w="93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
        <w:gridCol w:w="8352"/>
        <w:gridCol w:w="614"/>
      </w:tblGrid>
      <w:tr w:rsidR="005720EE" w:rsidRPr="00062A9C" w14:paraId="6939AB39" w14:textId="77777777" w:rsidTr="0033329D">
        <w:tc>
          <w:tcPr>
            <w:tcW w:w="394" w:type="dxa"/>
          </w:tcPr>
          <w:p w14:paraId="3F7DDE25" w14:textId="77777777" w:rsidR="005720EE" w:rsidRPr="00062A9C" w:rsidRDefault="005720EE" w:rsidP="0033329D">
            <w:pPr>
              <w:pStyle w:val="BodyText"/>
              <w:spacing w:before="18" w:line="480" w:lineRule="auto"/>
              <w:ind w:left="0" w:right="144"/>
              <w:jc w:val="center"/>
              <w:rPr>
                <w:rFonts w:asciiTheme="minorHAnsi" w:hAnsiTheme="minorHAnsi" w:cstheme="minorHAnsi"/>
                <w:w w:val="90"/>
              </w:rPr>
            </w:pPr>
          </w:p>
        </w:tc>
        <w:tc>
          <w:tcPr>
            <w:tcW w:w="8352" w:type="dxa"/>
          </w:tcPr>
          <w:p w14:paraId="5ABFFA45" w14:textId="77777777" w:rsidR="005720EE" w:rsidRPr="00062A9C" w:rsidRDefault="00E259A7" w:rsidP="0033329D">
            <w:pPr>
              <w:spacing w:before="6"/>
              <w:rPr>
                <w:rFonts w:asciiTheme="minorHAnsi" w:eastAsia="Bookman Old Style" w:hAnsiTheme="minorHAnsi" w:cstheme="minorHAnsi"/>
                <w:szCs w:val="24"/>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j</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begChr m:val="|"/>
                        <m:endChr m:val="|"/>
                        <m:ctrlPr>
                          <w:rPr>
                            <w:rFonts w:ascii="Cambria Math" w:eastAsiaTheme="minorEastAsia" w:hAnsi="Cambria Math" w:cstheme="minorHAnsi"/>
                            <w:i/>
                          </w:rPr>
                        </m:ctrlPr>
                      </m:dPr>
                      <m:e>
                        <m:sSubSup>
                          <m:sSubSupPr>
                            <m:ctrlPr>
                              <w:rPr>
                                <w:rFonts w:ascii="Cambria Math" w:eastAsiaTheme="minorEastAsia" w:hAnsi="Cambria Math" w:cstheme="minorHAnsi"/>
                                <w:i/>
                              </w:rPr>
                            </m:ctrlPr>
                          </m:sSubSupPr>
                          <m:e>
                            <m:r>
                              <m:rPr>
                                <m:sty m:val="p"/>
                              </m:rPr>
                              <w:rPr>
                                <w:rFonts w:ascii="Cambria Math" w:eastAsiaTheme="minorEastAsia" w:hAnsi="Cambria Math" w:cstheme="minorHAnsi"/>
                              </w:rPr>
                              <m:t>Φ</m:t>
                            </m:r>
                            <m:ctrlPr>
                              <w:rPr>
                                <w:rFonts w:ascii="Cambria Math" w:eastAsiaTheme="minorEastAsia" w:hAnsi="Cambria Math" w:cstheme="minorHAnsi"/>
                              </w:rPr>
                            </m:ctrlPr>
                          </m:e>
                          <m:sub>
                            <m:r>
                              <w:rPr>
                                <w:rFonts w:ascii="Cambria Math" w:eastAsiaTheme="minorEastAsia" w:hAnsi="Cambria Math" w:cstheme="minorHAnsi"/>
                              </w:rPr>
                              <m:t>j</m:t>
                            </m:r>
                          </m:sub>
                          <m:sup>
                            <m:d>
                              <m:dPr>
                                <m:ctrlPr>
                                  <w:rPr>
                                    <w:rFonts w:ascii="Cambria Math" w:eastAsiaTheme="minorEastAsia" w:hAnsi="Cambria Math" w:cstheme="minorHAnsi"/>
                                    <w:i/>
                                  </w:rPr>
                                </m:ctrlPr>
                              </m:dPr>
                              <m:e>
                                <m:r>
                                  <w:rPr>
                                    <w:rFonts w:ascii="Cambria Math" w:eastAsiaTheme="minorEastAsia" w:hAnsi="Cambria Math" w:cstheme="minorHAnsi"/>
                                  </w:rPr>
                                  <m:t>i</m:t>
                                </m:r>
                              </m:e>
                            </m:d>
                          </m:sup>
                        </m:sSubSup>
                      </m:e>
                    </m:d>
                  </m:e>
                </m:nary>
                <m:r>
                  <w:rPr>
                    <w:rFonts w:ascii="Cambria Math" w:eastAsiaTheme="minorEastAsia" w:hAnsi="Cambria Math" w:cstheme="minorHAnsi"/>
                  </w:rPr>
                  <m:t>,</m:t>
                </m:r>
              </m:oMath>
            </m:oMathPara>
          </w:p>
        </w:tc>
        <w:tc>
          <w:tcPr>
            <w:tcW w:w="614" w:type="dxa"/>
          </w:tcPr>
          <w:p w14:paraId="11F11830" w14:textId="77777777" w:rsidR="005720EE" w:rsidRPr="00062A9C" w:rsidRDefault="00A139B9" w:rsidP="003D0579">
            <w:pPr>
              <w:pStyle w:val="Caption"/>
              <w:rPr>
                <w:rFonts w:cstheme="minorHAnsi"/>
                <w:i/>
                <w:szCs w:val="22"/>
              </w:rPr>
            </w:pPr>
            <w:fldSimple w:instr=" SEQ Equation \* ARABIC ">
              <w:bookmarkStart w:id="11" w:name="_Ref129047814"/>
              <w:r w:rsidR="00B11BFB">
                <w:rPr>
                  <w:noProof/>
                </w:rPr>
                <w:t>13</w:t>
              </w:r>
              <w:bookmarkEnd w:id="11"/>
            </w:fldSimple>
          </w:p>
        </w:tc>
      </w:tr>
    </w:tbl>
    <w:p w14:paraId="646A95FA" w14:textId="77777777" w:rsidR="00947A57" w:rsidRPr="00062A9C" w:rsidRDefault="005720EE" w:rsidP="00E03458">
      <w:r>
        <w:t xml:space="preserve">Where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Pr>
          <w:rFonts w:eastAsiaTheme="minorEastAsia"/>
        </w:rPr>
        <w:t xml:space="preserve"> is the global importance of feature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j</m:t>
            </m:r>
          </m:sub>
        </m:sSub>
      </m:oMath>
      <w:r>
        <w:rPr>
          <w:rFonts w:eastAsiaTheme="minorEastAsia"/>
        </w:rPr>
        <w:t xml:space="preserve"> are the Shapley values of </w:t>
      </w:r>
      <w:r w:rsidR="009C1C4D">
        <w:rPr>
          <w:rFonts w:eastAsiaTheme="minorEastAsia"/>
        </w:rPr>
        <w:t xml:space="preserve">the </w:t>
      </w:r>
      <w:r>
        <w:rPr>
          <w:rFonts w:eastAsiaTheme="minorEastAsia"/>
        </w:rPr>
        <w:t xml:space="preserve">feature </w:t>
      </w:r>
      <m:oMath>
        <m:r>
          <w:rPr>
            <w:rFonts w:ascii="Cambria Math" w:eastAsiaTheme="minorEastAsia" w:hAnsi="Cambria Math"/>
          </w:rPr>
          <m:t>j</m:t>
        </m:r>
      </m:oMath>
      <w:r>
        <w:rPr>
          <w:rFonts w:eastAsiaTheme="minorEastAsia"/>
        </w:rPr>
        <w:t xml:space="preserve"> and </w:t>
      </w:r>
      <m:oMath>
        <m:r>
          <w:rPr>
            <w:rFonts w:ascii="Cambria Math" w:eastAsiaTheme="minorEastAsia" w:hAnsi="Cambria Math"/>
          </w:rPr>
          <m:t>n</m:t>
        </m:r>
      </m:oMath>
      <w:r>
        <w:rPr>
          <w:rFonts w:eastAsiaTheme="minorEastAsia"/>
        </w:rPr>
        <w:t xml:space="preserve"> is the total number of </w:t>
      </w:r>
      <w:r w:rsidR="00FE2701">
        <w:rPr>
          <w:rFonts w:eastAsiaTheme="minorEastAsia"/>
        </w:rPr>
        <w:t>time steps in the testing data</w:t>
      </w:r>
      <w:r>
        <w:rPr>
          <w:rFonts w:eastAsiaTheme="minorEastAsia"/>
        </w:rPr>
        <w:t xml:space="preserve">. </w:t>
      </w:r>
      <w:r w:rsidR="00511A01">
        <w:rPr>
          <w:rFonts w:eastAsiaTheme="minorEastAsia"/>
        </w:rPr>
        <w:t>We use the original definition proposed by Lim et al. (2021) to evaluate the static predictor feature importance</w:t>
      </w:r>
      <w:r w:rsidR="00C74DF8">
        <w:t>.</w:t>
      </w:r>
      <w:r w:rsidR="00577220">
        <w:rPr>
          <w:rFonts w:eastAsiaTheme="minorEastAsia"/>
        </w:rPr>
        <w:t xml:space="preserve"> </w:t>
      </w:r>
      <w:r w:rsidRPr="00624029">
        <w:t xml:space="preserve">By examining </w:t>
      </w:r>
      <w:r w:rsidR="007621E2">
        <w:t>Shapley values of the</w:t>
      </w:r>
      <w:r w:rsidRPr="00624029">
        <w:t xml:space="preserve"> attention head weights</w:t>
      </w:r>
      <w:r w:rsidR="002F142E">
        <w:t xml:space="preserve"> at every time step</w:t>
      </w:r>
      <w:r w:rsidRPr="00624029">
        <w:t xml:space="preserve">, one can determine the impact of </w:t>
      </w:r>
      <w:r w:rsidR="00E20908">
        <w:t>predictor</w:t>
      </w:r>
      <w:r w:rsidRPr="00624029">
        <w:t xml:space="preserve"> features on forecasting, thereby improving model interpretability and enabling the practitioner engineer to identify significant features for forecasting and events that may affect well productivity</w:t>
      </w:r>
      <w:r w:rsidR="00EA5084">
        <w:t>.</w:t>
      </w:r>
      <w:r w:rsidR="005044D1" w:rsidRPr="00062A9C">
        <w:t xml:space="preserve"> </w:t>
      </w:r>
      <w:r w:rsidR="00EB76F0" w:rsidRPr="00062A9C">
        <w:br w:type="page"/>
      </w:r>
    </w:p>
    <w:p w14:paraId="680883B7" w14:textId="77777777" w:rsidR="00885EF0" w:rsidRDefault="00885EF0" w:rsidP="00885EF0">
      <w:pPr>
        <w:pStyle w:val="Heading1"/>
      </w:pPr>
      <w:r w:rsidRPr="00062A9C">
        <w:lastRenderedPageBreak/>
        <w:t>Results and discussion</w:t>
      </w:r>
    </w:p>
    <w:p w14:paraId="29B1F2E7" w14:textId="2B2419E0" w:rsidR="00924599" w:rsidRDefault="00C32E1D" w:rsidP="00924599">
      <w:r w:rsidRPr="00062A9C">
        <w:t>The</w:t>
      </w:r>
      <w:r w:rsidR="009D26A7">
        <w:t xml:space="preserve"> proposed</w:t>
      </w:r>
      <w:r w:rsidRPr="00062A9C">
        <w:t xml:space="preserve"> surrogate flow </w:t>
      </w:r>
      <w:proofErr w:type="gramStart"/>
      <w:r w:rsidRPr="00062A9C">
        <w:t>model,</w:t>
      </w:r>
      <w:proofErr w:type="gramEnd"/>
      <w:r w:rsidRPr="00062A9C">
        <w:t xml:space="preserve"> </w:t>
      </w:r>
      <w:r w:rsidR="005B64DB">
        <w:t>is</w:t>
      </w:r>
      <w:r w:rsidRPr="00062A9C">
        <w:t xml:space="preserve"> a valuable tool for advanced diagnostics</w:t>
      </w:r>
      <w:r>
        <w:t xml:space="preserve"> by</w:t>
      </w:r>
      <w:r w:rsidRPr="00062A9C">
        <w:t xml:space="preserve"> </w:t>
      </w:r>
      <w:r>
        <w:t>forecastin</w:t>
      </w:r>
      <w:r w:rsidRPr="00062A9C">
        <w:t>g, identifying patterns, and anticipating well responses.</w:t>
      </w:r>
      <w:r w:rsidR="00A3482B">
        <w:t xml:space="preserve"> </w:t>
      </w:r>
      <w:r w:rsidR="00924599">
        <w:t xml:space="preserve">This section presents the </w:t>
      </w:r>
      <w:r w:rsidR="00D51252">
        <w:t>results for</w:t>
      </w:r>
      <w:r w:rsidR="00924599">
        <w:t xml:space="preserve"> the optimum encoder length (look-back periods), prediction length (forecast periods), and</w:t>
      </w:r>
      <w:r w:rsidR="00924599" w:rsidRPr="00062A9C">
        <w:t xml:space="preserve"> the results from training</w:t>
      </w:r>
      <w:r w:rsidR="00924599">
        <w:t xml:space="preserve"> and testing</w:t>
      </w:r>
      <w:r w:rsidR="00924599" w:rsidRPr="00062A9C">
        <w:t xml:space="preserve"> the TFT-based surrogate flow model </w:t>
      </w:r>
      <w:r w:rsidR="00924599">
        <w:t>with three synt</w:t>
      </w:r>
      <w:r w:rsidR="009C1C4D">
        <w:t>het</w:t>
      </w:r>
      <w:r w:rsidR="00924599">
        <w:t>ic datasets.</w:t>
      </w:r>
      <w:r w:rsidR="00704F87">
        <w:t xml:space="preserve"> </w:t>
      </w:r>
      <w:r w:rsidR="00704F87" w:rsidRPr="00062A9C">
        <w:t xml:space="preserve">We opt for a synthetic training dataset to mitigate the impact of exogenous </w:t>
      </w:r>
      <w:r w:rsidR="00955243">
        <w:t>events</w:t>
      </w:r>
      <w:r w:rsidR="00955243" w:rsidRPr="00062A9C">
        <w:t xml:space="preserve"> </w:t>
      </w:r>
      <w:r w:rsidR="00704F87" w:rsidRPr="00062A9C">
        <w:t>unrelated to the forecasting problem (</w:t>
      </w:r>
      <w:r w:rsidR="00704F87">
        <w:t xml:space="preserve">i.e., </w:t>
      </w:r>
      <w:r w:rsidR="00704F87" w:rsidRPr="00062A9C">
        <w:t>defective measurements and human errors)</w:t>
      </w:r>
      <w:r w:rsidR="00D51252">
        <w:t xml:space="preserve"> and to provide comprehensive testing over diverse set of known truth models</w:t>
      </w:r>
      <w:r w:rsidR="00704F87" w:rsidRPr="00062A9C">
        <w:t>.</w:t>
      </w:r>
      <w:r w:rsidR="00924599">
        <w:t xml:space="preserve"> Additionally, we </w:t>
      </w:r>
      <w:r w:rsidR="00924599" w:rsidRPr="00062A9C">
        <w:t>discuss the results and interpretability of the attention weights.</w:t>
      </w:r>
    </w:p>
    <w:p w14:paraId="2AC03F37" w14:textId="77777777" w:rsidR="007621D8" w:rsidRDefault="004D0FAB" w:rsidP="0040454A">
      <w:pPr>
        <w:pStyle w:val="Heading2"/>
      </w:pPr>
      <w:r>
        <w:t>Scenario</w:t>
      </w:r>
      <w:r w:rsidR="00396807">
        <w:t xml:space="preserve"> construction</w:t>
      </w:r>
    </w:p>
    <w:p w14:paraId="2C45FCC5" w14:textId="75A4663B" w:rsidR="00D25B2B" w:rsidRPr="00062A9C" w:rsidRDefault="00F25D4C" w:rsidP="00D25B2B">
      <w:r>
        <w:t>To generate synthetic geological models of porosity (</w:t>
      </w:r>
      <m:oMath>
        <m:r>
          <w:rPr>
            <w:rFonts w:ascii="Cambria Math" w:hAnsi="Cambria Math"/>
          </w:rPr>
          <m:t>ϕ</m:t>
        </m:r>
      </m:oMath>
      <w:r>
        <w:t>) and permeability (</w:t>
      </w:r>
      <m:oMath>
        <m:r>
          <w:rPr>
            <w:rFonts w:ascii="Cambria Math" w:hAnsi="Cambria Math"/>
          </w:rPr>
          <m:t>K</m:t>
        </m:r>
      </m:oMath>
      <w:r>
        <w:t>), Sequential Gaussian Simulation (SGS) was employed. This was implemented using the open-source Python package GeostatsPy (Pyrcz et al., 2021), which utilizes a reimplementation of the original GSLIB Fortran Geostatistical Library (Deutsch and Journel, 1992)</w:t>
      </w:r>
      <w:r w:rsidR="00151525">
        <w:t>.</w:t>
      </w:r>
      <w:r w:rsidR="00642A92">
        <w:t xml:space="preserve"> The spatial distribution of the features is defined by their variogram, which is utilized in univariate and spatial modeling. The porosity realization is first computed and subsequently used to determine the corresponding collocated co-kriging permeability realization.</w:t>
      </w:r>
      <w:r w:rsidR="00FA3983">
        <w:t xml:space="preserve"> </w:t>
      </w:r>
      <w:r w:rsidR="00391335">
        <w:t xml:space="preserve">The Pearson correlation coefficient is assumed to be 0.9, and the permeability realization is confined within the bounds of the porosity realization. The univariate permeability distribution ranges from 1 </w:t>
      </w:r>
      <w:proofErr w:type="spellStart"/>
      <w:r w:rsidR="00391335">
        <w:t>μD</w:t>
      </w:r>
      <w:proofErr w:type="spellEnd"/>
      <w:r w:rsidR="00391335">
        <w:t xml:space="preserve"> to 1.2 D, while the univariate porosity distribution varies from 0 to 0.2 in fraction. A representative example of the generated permeability (</w:t>
      </w:r>
      <m:oMath>
        <m:r>
          <w:rPr>
            <w:rFonts w:ascii="Cambria Math" w:hAnsi="Cambria Math"/>
          </w:rPr>
          <m:t>K</m:t>
        </m:r>
      </m:oMath>
      <w:r w:rsidR="00391335">
        <w:t>) and porosity (</w:t>
      </w:r>
      <m:oMath>
        <m:r>
          <w:rPr>
            <w:rFonts w:ascii="Cambria Math" w:hAnsi="Cambria Math"/>
          </w:rPr>
          <m:t>ϕ</m:t>
        </m:r>
      </m:oMath>
      <w:r w:rsidR="00391335">
        <w:t>) realizations is depicted in</w:t>
      </w:r>
      <w:r w:rsidR="00D25B2B" w:rsidRPr="00062A9C">
        <w:t xml:space="preserve"> </w:t>
      </w:r>
      <w:r w:rsidR="00D25B2B">
        <w:fldChar w:fldCharType="begin"/>
      </w:r>
      <w:r w:rsidR="00D25B2B">
        <w:instrText xml:space="preserve"> REF _Ref127200218 \h </w:instrText>
      </w:r>
      <w:r w:rsidR="00D25B2B">
        <w:fldChar w:fldCharType="separate"/>
      </w:r>
      <w:r w:rsidR="00B11BFB" w:rsidRPr="00285477">
        <w:t xml:space="preserve">Figure </w:t>
      </w:r>
      <w:r w:rsidR="00B11BFB">
        <w:rPr>
          <w:noProof/>
        </w:rPr>
        <w:t>2</w:t>
      </w:r>
      <w:r w:rsidR="00D25B2B">
        <w:fldChar w:fldCharType="end"/>
      </w:r>
      <w:r w:rsidR="00391335">
        <w:t>.</w:t>
      </w:r>
    </w:p>
    <w:p w14:paraId="13FED89A" w14:textId="77777777" w:rsidR="00D25B2B" w:rsidRDefault="00D25B2B" w:rsidP="00D25B2B">
      <w:pPr>
        <w:keepNext/>
        <w:jc w:val="center"/>
      </w:pPr>
      <w:r w:rsidRPr="00062A9C">
        <w:rPr>
          <w:noProof/>
        </w:rPr>
        <w:lastRenderedPageBreak/>
        <w:drawing>
          <wp:inline distT="0" distB="0" distL="0" distR="0" wp14:anchorId="2196FA83" wp14:editId="3BED662A">
            <wp:extent cx="5295479" cy="2244855"/>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95479" cy="2244855"/>
                    </a:xfrm>
                    <a:prstGeom prst="rect">
                      <a:avLst/>
                    </a:prstGeom>
                    <a:noFill/>
                    <a:ln>
                      <a:noFill/>
                    </a:ln>
                  </pic:spPr>
                </pic:pic>
              </a:graphicData>
            </a:graphic>
          </wp:inline>
        </w:drawing>
      </w:r>
    </w:p>
    <w:p w14:paraId="32C846EA" w14:textId="2626FB50" w:rsidR="00D25B2B" w:rsidRPr="00285477" w:rsidRDefault="00D25B2B" w:rsidP="003D0579">
      <w:pPr>
        <w:pStyle w:val="Caption"/>
      </w:pPr>
      <w:bookmarkStart w:id="12" w:name="_Ref127200218"/>
      <w:r w:rsidRPr="00285477">
        <w:t xml:space="preserve">Figure </w:t>
      </w:r>
      <w:fldSimple w:instr=" SEQ Figure \* ARABIC ">
        <w:r w:rsidR="00B11BFB">
          <w:rPr>
            <w:noProof/>
          </w:rPr>
          <w:t>2</w:t>
        </w:r>
      </w:fldSimple>
      <w:bookmarkEnd w:id="12"/>
      <w:r w:rsidR="004119D1">
        <w:t>.</w:t>
      </w:r>
      <w:r w:rsidRPr="00285477">
        <w:t xml:space="preserve">- </w:t>
      </w:r>
      <w:r w:rsidR="000154B9">
        <w:t xml:space="preserve">An illustration of the porosity and permeability distributions employed to generate the training datasets is presented </w:t>
      </w:r>
      <w:r w:rsidR="00A36EB4">
        <w:t>in subfigure a) porosity distribution and (b)</w:t>
      </w:r>
      <w:r w:rsidR="000154B9">
        <w:t xml:space="preserve"> the permeability distribution.</w:t>
      </w:r>
    </w:p>
    <w:p w14:paraId="485556F9" w14:textId="7E266FA0" w:rsidR="00C82B92" w:rsidRDefault="00114BFE" w:rsidP="00C82B92">
      <w:r>
        <w:t xml:space="preserve">Subsequently, a finite differences reservoir flow simulator (Aziz and </w:t>
      </w:r>
      <w:proofErr w:type="spellStart"/>
      <w:r>
        <w:t>Settari</w:t>
      </w:r>
      <w:proofErr w:type="spellEnd"/>
      <w:r>
        <w:t>, 1979) is employed to</w:t>
      </w:r>
      <w:r w:rsidR="00F0457C" w:rsidRPr="00062A9C">
        <w:t xml:space="preserve"> generate a fit-for-purpose production dataset.</w:t>
      </w:r>
      <w:r w:rsidR="00F0457C">
        <w:t xml:space="preserve"> We explore primary and secondary recovery scenarios using the porosity and permeability realizations from SGS. </w:t>
      </w:r>
      <w:r w:rsidR="0028255F">
        <w:t>The simulation model operates by controlling injection wells through the specification of time-varying water injection rates, while production wells are regulated using time-varying well bottom-hole pressure (BHP). To create three distinct scenarios, the initial pressure at the top of the reservoir is set to 3800 psi, and the initial water saturation is fixed at 0.20.</w:t>
      </w:r>
    </w:p>
    <w:p w14:paraId="0CF671BE" w14:textId="77777777" w:rsidR="003408F5" w:rsidRDefault="00B544EF" w:rsidP="003408F5">
      <w:pPr>
        <w:pStyle w:val="Heading2"/>
      </w:pPr>
      <w:r>
        <w:t>Scenario</w:t>
      </w:r>
      <w:r w:rsidR="003408F5">
        <w:t xml:space="preserve"> description</w:t>
      </w:r>
    </w:p>
    <w:p w14:paraId="65762CFC" w14:textId="3BB110E7" w:rsidR="00824881" w:rsidRDefault="00170D38" w:rsidP="00824881">
      <w:r w:rsidRPr="00933C34">
        <w:rPr>
          <w:bCs/>
        </w:rPr>
        <w:t>Scenario A</w:t>
      </w:r>
      <w:r w:rsidR="00824881" w:rsidRPr="00062A9C">
        <w:t xml:space="preserve"> </w:t>
      </w:r>
      <w:r w:rsidR="0085339D">
        <w:t>explores a primary depletion</w:t>
      </w:r>
      <w:r w:rsidR="00605532">
        <w:t xml:space="preserve"> example</w:t>
      </w:r>
      <w:r w:rsidR="00A36EB4">
        <w:t xml:space="preserve"> comprising</w:t>
      </w:r>
      <w:r w:rsidR="00824881" w:rsidRPr="00062A9C">
        <w:t xml:space="preserve"> production data from 7 </w:t>
      </w:r>
      <w:r w:rsidR="00D1153E">
        <w:t xml:space="preserve">producer </w:t>
      </w:r>
      <w:r w:rsidR="00824881" w:rsidRPr="00062A9C">
        <w:t>wells under constant bottom-hole pressure</w:t>
      </w:r>
      <w:r w:rsidR="00824881">
        <w:t xml:space="preserve"> conditions</w:t>
      </w:r>
      <w:r w:rsidR="00824881" w:rsidRPr="00062A9C">
        <w:t>.</w:t>
      </w:r>
      <w:r w:rsidR="00605532">
        <w:t xml:space="preserve"> The objective is to forecast </w:t>
      </w:r>
      <w:r w:rsidR="009C1C4D">
        <w:t xml:space="preserve">the </w:t>
      </w:r>
      <w:r w:rsidR="00605532">
        <w:t>oil rate.</w:t>
      </w:r>
      <w:r w:rsidR="00824881" w:rsidRPr="00062A9C">
        <w:t xml:space="preserve"> All well</w:t>
      </w:r>
      <w:r w:rsidR="00824881">
        <w:t>s</w:t>
      </w:r>
      <w:r w:rsidR="00824881" w:rsidRPr="00062A9C">
        <w:t xml:space="preserve"> </w:t>
      </w:r>
      <w:r w:rsidR="00824881">
        <w:t>are located</w:t>
      </w:r>
      <w:r w:rsidR="00824881" w:rsidRPr="00062A9C">
        <w:t xml:space="preserve"> along </w:t>
      </w:r>
      <w:r w:rsidR="00824881">
        <w:t>a constant value in the</w:t>
      </w:r>
      <w:r w:rsidR="00824881" w:rsidRPr="00062A9C">
        <w:t xml:space="preserve"> x-axis, as observed in </w:t>
      </w:r>
      <w:r w:rsidR="00824881">
        <w:fldChar w:fldCharType="begin"/>
      </w:r>
      <w:r w:rsidR="00824881">
        <w:instrText xml:space="preserve"> REF _Ref127201718 \h </w:instrText>
      </w:r>
      <w:r w:rsidR="00824881">
        <w:fldChar w:fldCharType="separate"/>
      </w:r>
      <w:r w:rsidR="00B11BFB">
        <w:t xml:space="preserve">Figure </w:t>
      </w:r>
      <w:r w:rsidR="00B11BFB">
        <w:rPr>
          <w:noProof/>
        </w:rPr>
        <w:t>3</w:t>
      </w:r>
      <w:r w:rsidR="00824881">
        <w:fldChar w:fldCharType="end"/>
      </w:r>
      <w:r w:rsidR="00824881">
        <w:t>. We</w:t>
      </w:r>
      <w:r w:rsidR="00824881" w:rsidRPr="00062A9C">
        <w:t xml:space="preserve"> hypothesize that the </w:t>
      </w:r>
      <w:r w:rsidR="00984F07">
        <w:t xml:space="preserve">importance </w:t>
      </w:r>
      <w:r w:rsidR="0098338B">
        <w:t xml:space="preserve">of the </w:t>
      </w:r>
      <w:r w:rsidR="00824881" w:rsidRPr="00062A9C">
        <w:t xml:space="preserve">static predictor features will be higher for the y-position feature. We add scheduled events during simulation time to </w:t>
      </w:r>
      <w:r w:rsidR="00824881" w:rsidRPr="00062A9C">
        <w:lastRenderedPageBreak/>
        <w:t>represent: no events, changes in choke size, and minor well repairs. T</w:t>
      </w:r>
      <w:r w:rsidR="00824881">
        <w:t>hese changes are represented by changing</w:t>
      </w:r>
      <w:r w:rsidR="00824881" w:rsidRPr="00062A9C">
        <w:t xml:space="preserve"> the bottom-hole pressure by constant values</w:t>
      </w:r>
      <w:r w:rsidR="00824881">
        <w:t xml:space="preserve"> of 10 and 100 psi., respectively</w:t>
      </w:r>
      <w:r w:rsidR="00824881" w:rsidRPr="00062A9C">
        <w:t xml:space="preserve">. In </w:t>
      </w:r>
      <w:r w:rsidR="00824881">
        <w:fldChar w:fldCharType="begin"/>
      </w:r>
      <w:r w:rsidR="00824881">
        <w:instrText xml:space="preserve"> REF _Ref127201726 \h </w:instrText>
      </w:r>
      <w:r w:rsidR="00824881">
        <w:fldChar w:fldCharType="separate"/>
      </w:r>
      <w:r w:rsidR="00B11BFB">
        <w:t xml:space="preserve">Figure </w:t>
      </w:r>
      <w:r w:rsidR="00B11BFB">
        <w:rPr>
          <w:noProof/>
        </w:rPr>
        <w:t>4</w:t>
      </w:r>
      <w:r w:rsidR="00824881">
        <w:fldChar w:fldCharType="end"/>
      </w:r>
      <w:r w:rsidR="00824881" w:rsidRPr="00062A9C">
        <w:t>, we show the production history from Well #</w:t>
      </w:r>
      <w:r w:rsidR="00824881">
        <w:t>5</w:t>
      </w:r>
      <w:r w:rsidR="00824881" w:rsidRPr="00062A9C">
        <w:t xml:space="preserve"> a</w:t>
      </w:r>
      <w:r w:rsidR="00824881">
        <w:t>nd</w:t>
      </w:r>
      <w:r w:rsidR="00824881" w:rsidRPr="00062A9C">
        <w:t xml:space="preserve"> the events from the production history.</w:t>
      </w:r>
      <w:r w:rsidR="00824881">
        <w:t xml:space="preserve"> </w:t>
      </w:r>
    </w:p>
    <w:p w14:paraId="01A8AAC6" w14:textId="77777777" w:rsidR="00824881" w:rsidRDefault="00824881" w:rsidP="00824881"/>
    <w:p w14:paraId="3EAC1EA2" w14:textId="77777777" w:rsidR="00824881" w:rsidRDefault="00824881" w:rsidP="00824881">
      <w:pPr>
        <w:keepNext/>
        <w:jc w:val="center"/>
      </w:pPr>
      <w:r w:rsidRPr="00062A9C">
        <w:rPr>
          <w:noProof/>
        </w:rPr>
        <w:drawing>
          <wp:inline distT="0" distB="0" distL="0" distR="0" wp14:anchorId="210F4BC0" wp14:editId="62D9D79E">
            <wp:extent cx="3583172" cy="3160135"/>
            <wp:effectExtent l="0" t="0" r="0" b="254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5240" cy="3197236"/>
                    </a:xfrm>
                    <a:prstGeom prst="rect">
                      <a:avLst/>
                    </a:prstGeom>
                    <a:noFill/>
                    <a:ln>
                      <a:noFill/>
                    </a:ln>
                  </pic:spPr>
                </pic:pic>
              </a:graphicData>
            </a:graphic>
          </wp:inline>
        </w:drawing>
      </w:r>
    </w:p>
    <w:p w14:paraId="6C20093D" w14:textId="0F237346" w:rsidR="00824881" w:rsidRPr="00062A9C" w:rsidRDefault="00824881" w:rsidP="003D0579">
      <w:pPr>
        <w:pStyle w:val="Caption"/>
      </w:pPr>
      <w:bookmarkStart w:id="13" w:name="_Ref127201718"/>
      <w:r>
        <w:t xml:space="preserve">Figure </w:t>
      </w:r>
      <w:fldSimple w:instr=" SEQ Figure \* ARABIC ">
        <w:r w:rsidR="00B11BFB">
          <w:rPr>
            <w:noProof/>
          </w:rPr>
          <w:t>3</w:t>
        </w:r>
      </w:fldSimple>
      <w:bookmarkEnd w:id="13"/>
      <w:r w:rsidR="004119D1">
        <w:t>.</w:t>
      </w:r>
      <w:r>
        <w:t>-</w:t>
      </w:r>
      <w:r>
        <w:rPr>
          <w:noProof/>
        </w:rPr>
        <w:t xml:space="preserve"> </w:t>
      </w:r>
      <w:r w:rsidRPr="000E03FB">
        <w:rPr>
          <w:noProof/>
        </w:rPr>
        <w:t xml:space="preserve">Well distribution along the simulation grid. All wells are producing under constant bottom-hole pressure from the same formation. We maintain </w:t>
      </w:r>
      <w:r>
        <w:rPr>
          <w:noProof/>
        </w:rPr>
        <w:t xml:space="preserve">a constant </w:t>
      </w:r>
      <w:r w:rsidRPr="000E03FB">
        <w:rPr>
          <w:noProof/>
        </w:rPr>
        <w:t>well</w:t>
      </w:r>
      <w:r>
        <w:rPr>
          <w:noProof/>
        </w:rPr>
        <w:t xml:space="preserve"> location</w:t>
      </w:r>
      <w:r w:rsidRPr="000E03FB">
        <w:rPr>
          <w:noProof/>
        </w:rPr>
        <w:t xml:space="preserve"> along the </w:t>
      </w:r>
      <w:r>
        <w:rPr>
          <w:noProof/>
        </w:rPr>
        <w:t>x</w:t>
      </w:r>
      <w:r w:rsidRPr="000E03FB">
        <w:rPr>
          <w:noProof/>
        </w:rPr>
        <w:t>-axis.</w:t>
      </w:r>
    </w:p>
    <w:p w14:paraId="240F4D0B" w14:textId="4EB29BE5" w:rsidR="00824881" w:rsidRDefault="00C41AD3" w:rsidP="00824881">
      <w:pPr>
        <w:pStyle w:val="Figures"/>
        <w:keepNext/>
      </w:pPr>
      <w:r>
        <w:rPr>
          <w:noProof/>
        </w:rPr>
        <w:lastRenderedPageBreak/>
        <w:drawing>
          <wp:inline distT="0" distB="0" distL="0" distR="0" wp14:anchorId="448C1CE6" wp14:editId="1867519C">
            <wp:extent cx="5931535" cy="2910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2910205"/>
                    </a:xfrm>
                    <a:prstGeom prst="rect">
                      <a:avLst/>
                    </a:prstGeom>
                    <a:noFill/>
                    <a:ln>
                      <a:noFill/>
                    </a:ln>
                  </pic:spPr>
                </pic:pic>
              </a:graphicData>
            </a:graphic>
          </wp:inline>
        </w:drawing>
      </w:r>
    </w:p>
    <w:p w14:paraId="7A0B576A" w14:textId="7721AE69" w:rsidR="00824881" w:rsidRPr="00D51252" w:rsidRDefault="00824881" w:rsidP="003D0579">
      <w:pPr>
        <w:pStyle w:val="Caption"/>
      </w:pPr>
      <w:bookmarkStart w:id="14" w:name="_Ref127201726"/>
      <w:r>
        <w:t xml:space="preserve">Figure </w:t>
      </w:r>
      <w:fldSimple w:instr=" SEQ Figure \* ARABIC ">
        <w:r w:rsidR="00B11BFB">
          <w:rPr>
            <w:noProof/>
          </w:rPr>
          <w:t>4</w:t>
        </w:r>
      </w:fldSimple>
      <w:bookmarkEnd w:id="14"/>
      <w:r w:rsidR="006A220A">
        <w:t>.</w:t>
      </w:r>
      <w:r>
        <w:t>-</w:t>
      </w:r>
      <w:r>
        <w:rPr>
          <w:noProof/>
        </w:rPr>
        <w:t xml:space="preserve"> </w:t>
      </w:r>
      <w:r w:rsidRPr="006566F2">
        <w:rPr>
          <w:noProof/>
        </w:rPr>
        <w:t>Production history of Well #</w:t>
      </w:r>
      <w:r w:rsidR="00EC2972">
        <w:rPr>
          <w:noProof/>
        </w:rPr>
        <w:t>5</w:t>
      </w:r>
      <w:r w:rsidRPr="006566F2">
        <w:rPr>
          <w:noProof/>
        </w:rPr>
        <w:t xml:space="preserve"> from </w:t>
      </w:r>
      <w:r w:rsidR="00572464">
        <w:rPr>
          <w:noProof/>
        </w:rPr>
        <w:t>scenario A</w:t>
      </w:r>
      <w:r w:rsidRPr="006566F2">
        <w:rPr>
          <w:noProof/>
        </w:rPr>
        <w:t>. In subfigure a)</w:t>
      </w:r>
      <w:r w:rsidR="00C212DF">
        <w:rPr>
          <w:noProof/>
        </w:rPr>
        <w:t xml:space="preserve"> we show</w:t>
      </w:r>
      <w:r w:rsidRPr="006566F2">
        <w:rPr>
          <w:noProof/>
        </w:rPr>
        <w:t xml:space="preserve"> the production history for 2000 days, while in subfigure b)</w:t>
      </w:r>
      <w:r w:rsidR="006169CA">
        <w:rPr>
          <w:noProof/>
        </w:rPr>
        <w:t xml:space="preserve"> we show</w:t>
      </w:r>
      <w:r w:rsidRPr="006566F2">
        <w:rPr>
          <w:noProof/>
        </w:rPr>
        <w:t xml:space="preserve"> </w:t>
      </w:r>
      <w:r w:rsidR="00D51252">
        <w:rPr>
          <w:noProof/>
        </w:rPr>
        <w:t xml:space="preserve">the type and time of </w:t>
      </w:r>
      <w:r w:rsidRPr="006566F2">
        <w:rPr>
          <w:noProof/>
        </w:rPr>
        <w:t xml:space="preserve">the random events </w:t>
      </w:r>
      <w:r w:rsidRPr="00D51252">
        <w:rPr>
          <w:noProof/>
        </w:rPr>
        <w:t>that occur in the production history.</w:t>
      </w:r>
    </w:p>
    <w:p w14:paraId="20257518" w14:textId="67CF7AF6" w:rsidR="008C041A" w:rsidRDefault="00170D38" w:rsidP="00824881">
      <w:r w:rsidRPr="00EF0B60">
        <w:rPr>
          <w:bCs/>
        </w:rPr>
        <w:t>Scenario B</w:t>
      </w:r>
      <w:r w:rsidR="00824881" w:rsidRPr="00062A9C">
        <w:t xml:space="preserve"> is a replica of </w:t>
      </w:r>
      <w:r w:rsidR="00D51252">
        <w:t>scenario</w:t>
      </w:r>
      <w:r w:rsidR="00824881" w:rsidRPr="00062A9C">
        <w:t xml:space="preserve"> </w:t>
      </w:r>
      <w:r w:rsidR="00D51252">
        <w:t>A</w:t>
      </w:r>
      <w:r w:rsidR="00824881" w:rsidRPr="00062A9C">
        <w:t xml:space="preserve">, except that we add random Gaussian noise to the </w:t>
      </w:r>
      <w:r w:rsidR="00185662">
        <w:t>oil rate. The objective is to forecast oil rate</w:t>
      </w:r>
      <w:r w:rsidR="006208B2">
        <w:t>s</w:t>
      </w:r>
      <w:r w:rsidR="00185662">
        <w:t xml:space="preserve"> </w:t>
      </w:r>
      <w:r w:rsidR="00791989">
        <w:t xml:space="preserve">in the presence of noisy data </w:t>
      </w:r>
      <w:r w:rsidR="00185662">
        <w:t>and</w:t>
      </w:r>
      <w:r w:rsidR="00824881" w:rsidRPr="00062A9C">
        <w:t xml:space="preserve"> to show that </w:t>
      </w:r>
      <w:r w:rsidR="00185662">
        <w:t xml:space="preserve">attention head weights and </w:t>
      </w:r>
      <w:r w:rsidR="009C1C4D">
        <w:t>S</w:t>
      </w:r>
      <w:r w:rsidR="00185662">
        <w:t xml:space="preserve">hapley feature importance </w:t>
      </w:r>
      <w:r w:rsidR="009C1C4D">
        <w:t>are</w:t>
      </w:r>
      <w:r w:rsidR="00185662">
        <w:t xml:space="preserve"> not affecte</w:t>
      </w:r>
      <w:r w:rsidR="00791989">
        <w:t>d by noisy measurements</w:t>
      </w:r>
      <w:r w:rsidR="00185662">
        <w:t>.</w:t>
      </w:r>
    </w:p>
    <w:p w14:paraId="5809EFA9" w14:textId="7CE36304" w:rsidR="00824881" w:rsidRPr="00062A9C" w:rsidRDefault="00170D38" w:rsidP="00824881">
      <w:r w:rsidRPr="00EF0B60">
        <w:rPr>
          <w:bCs/>
        </w:rPr>
        <w:t>Scenario C</w:t>
      </w:r>
      <w:r w:rsidR="005A19EC" w:rsidRPr="005A19EC">
        <w:t xml:space="preserve"> </w:t>
      </w:r>
      <w:r w:rsidR="005A19EC">
        <w:t xml:space="preserve">explores a secondary recovery </w:t>
      </w:r>
      <w:r w:rsidR="00450C43">
        <w:t>example</w:t>
      </w:r>
      <w:r w:rsidR="005A19EC">
        <w:t xml:space="preserve"> and</w:t>
      </w:r>
      <w:r w:rsidR="00824881" w:rsidRPr="00062A9C">
        <w:t xml:space="preserve"> </w:t>
      </w:r>
      <w:r w:rsidR="00824881">
        <w:t>comprises production and injection data from</w:t>
      </w:r>
      <w:r w:rsidR="00824881" w:rsidRPr="00062A9C">
        <w:t xml:space="preserve"> a simple 5-spot injection pattern, as observed in </w:t>
      </w:r>
      <w:r w:rsidR="00824881">
        <w:fldChar w:fldCharType="begin"/>
      </w:r>
      <w:r w:rsidR="00824881">
        <w:instrText xml:space="preserve"> REF _Ref127201868 \h </w:instrText>
      </w:r>
      <w:r w:rsidR="00824881">
        <w:fldChar w:fldCharType="separate"/>
      </w:r>
      <w:r w:rsidR="00B11BFB">
        <w:t xml:space="preserve">Figure </w:t>
      </w:r>
      <w:r w:rsidR="00B11BFB">
        <w:rPr>
          <w:noProof/>
        </w:rPr>
        <w:t>5</w:t>
      </w:r>
      <w:r w:rsidR="00824881">
        <w:fldChar w:fldCharType="end"/>
      </w:r>
      <w:r w:rsidR="00824881" w:rsidRPr="00062A9C">
        <w:t>.</w:t>
      </w:r>
      <w:r w:rsidR="00413BEC">
        <w:t xml:space="preserve"> The objective is to forecast </w:t>
      </w:r>
      <w:r w:rsidR="009C1C4D">
        <w:t xml:space="preserve">the </w:t>
      </w:r>
      <w:r w:rsidR="00413BEC">
        <w:t>oil rate, water rate</w:t>
      </w:r>
      <w:r w:rsidR="009C1C4D">
        <w:t>,</w:t>
      </w:r>
      <w:r w:rsidR="00413BEC">
        <w:t xml:space="preserve"> and water injection pressure to show the applicability of our workflow to a more complicated problem with more predictor and response features</w:t>
      </w:r>
      <w:r w:rsidR="00BA5430">
        <w:t>.</w:t>
      </w:r>
      <w:r w:rsidR="00824881" w:rsidRPr="00062A9C">
        <w:t xml:space="preserve"> </w:t>
      </w:r>
      <w:r w:rsidR="00824881">
        <w:t xml:space="preserve">In </w:t>
      </w:r>
      <w:r w:rsidR="00824881">
        <w:fldChar w:fldCharType="begin"/>
      </w:r>
      <w:r w:rsidR="00824881">
        <w:instrText xml:space="preserve"> REF _Ref127201875 \h </w:instrText>
      </w:r>
      <w:r w:rsidR="00824881">
        <w:fldChar w:fldCharType="separate"/>
      </w:r>
      <w:r w:rsidR="00B11BFB">
        <w:t xml:space="preserve">Figure </w:t>
      </w:r>
      <w:r w:rsidR="00B11BFB">
        <w:rPr>
          <w:noProof/>
        </w:rPr>
        <w:t>6</w:t>
      </w:r>
      <w:r w:rsidR="00824881">
        <w:fldChar w:fldCharType="end"/>
      </w:r>
      <w:r w:rsidR="00824881">
        <w:t>,</w:t>
      </w:r>
      <w:r w:rsidR="00824881" w:rsidRPr="00062A9C">
        <w:t xml:space="preserve"> </w:t>
      </w:r>
      <w:r w:rsidR="00824881">
        <w:t xml:space="preserve">we </w:t>
      </w:r>
      <w:r w:rsidR="00824881" w:rsidRPr="00062A9C">
        <w:t xml:space="preserve">show the oil and water production history of well P1 in black and blue colors. In red, we plot the water </w:t>
      </w:r>
      <w:r w:rsidR="00BB4C72">
        <w:t xml:space="preserve">bottom-hole injection </w:t>
      </w:r>
      <w:r w:rsidR="00824881" w:rsidRPr="00062A9C">
        <w:t>pressure from well I</w:t>
      </w:r>
      <w:r w:rsidR="00824881">
        <w:t>1</w:t>
      </w:r>
      <w:r w:rsidR="00824881" w:rsidRPr="00062A9C">
        <w:t xml:space="preserve">. </w:t>
      </w:r>
    </w:p>
    <w:p w14:paraId="103C0D59" w14:textId="77777777" w:rsidR="00824881" w:rsidRDefault="00824881" w:rsidP="00824881">
      <w:pPr>
        <w:keepNext/>
        <w:jc w:val="center"/>
      </w:pPr>
      <w:r>
        <w:rPr>
          <w:noProof/>
        </w:rPr>
        <w:lastRenderedPageBreak/>
        <w:drawing>
          <wp:inline distT="0" distB="0" distL="0" distR="0" wp14:anchorId="521069B1" wp14:editId="5AB38BA8">
            <wp:extent cx="3735955" cy="31496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0658" cy="3161995"/>
                    </a:xfrm>
                    <a:prstGeom prst="rect">
                      <a:avLst/>
                    </a:prstGeom>
                    <a:noFill/>
                    <a:ln>
                      <a:noFill/>
                    </a:ln>
                  </pic:spPr>
                </pic:pic>
              </a:graphicData>
            </a:graphic>
          </wp:inline>
        </w:drawing>
      </w:r>
    </w:p>
    <w:p w14:paraId="6AD8D8D6" w14:textId="77777777" w:rsidR="00824881" w:rsidRPr="00062A9C" w:rsidRDefault="00824881" w:rsidP="003D0579">
      <w:pPr>
        <w:pStyle w:val="Caption"/>
      </w:pPr>
      <w:bookmarkStart w:id="15" w:name="_Ref127201868"/>
      <w:r>
        <w:t xml:space="preserve">Figure </w:t>
      </w:r>
      <w:fldSimple w:instr=" SEQ Figure \* ARABIC ">
        <w:r w:rsidR="00B11BFB">
          <w:rPr>
            <w:noProof/>
          </w:rPr>
          <w:t>5</w:t>
        </w:r>
      </w:fldSimple>
      <w:bookmarkEnd w:id="15"/>
      <w:r w:rsidRPr="00062A9C">
        <w:t>.- Schematic plot of well location for a 5-spot injection pattern. P refers to producer wells, and I to injector wells.</w:t>
      </w:r>
    </w:p>
    <w:p w14:paraId="1C036ADA" w14:textId="77777777" w:rsidR="00824881" w:rsidRDefault="00824881" w:rsidP="00824881">
      <w:pPr>
        <w:keepNext/>
      </w:pPr>
      <w:r w:rsidRPr="00062A9C">
        <w:rPr>
          <w:noProof/>
        </w:rPr>
        <w:drawing>
          <wp:inline distT="0" distB="0" distL="0" distR="0" wp14:anchorId="35019C80" wp14:editId="19DDA6A1">
            <wp:extent cx="5943600" cy="231203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14:paraId="4A26F041" w14:textId="3E6FEF9B" w:rsidR="00824881" w:rsidRDefault="00824881" w:rsidP="003D0579">
      <w:pPr>
        <w:pStyle w:val="Caption"/>
      </w:pPr>
      <w:bookmarkStart w:id="16" w:name="_Ref127201875"/>
      <w:r>
        <w:t xml:space="preserve">Figure </w:t>
      </w:r>
      <w:fldSimple w:instr=" SEQ Figure \* ARABIC ">
        <w:r w:rsidR="00B11BFB">
          <w:rPr>
            <w:noProof/>
          </w:rPr>
          <w:t>6</w:t>
        </w:r>
      </w:fldSimple>
      <w:bookmarkEnd w:id="16"/>
      <w:r w:rsidRPr="00062A9C">
        <w:t>.- Production history of well P1 from the simulator</w:t>
      </w:r>
      <w:r w:rsidR="00D51252">
        <w:t xml:space="preserve">, including the </w:t>
      </w:r>
      <w:r w:rsidRPr="00062A9C">
        <w:t xml:space="preserve"> oil rate</w:t>
      </w:r>
      <w:r w:rsidR="00D51252">
        <w:t xml:space="preserve"> (black line),</w:t>
      </w:r>
      <w:r w:rsidRPr="00062A9C">
        <w:t xml:space="preserve"> the water rate</w:t>
      </w:r>
      <w:r w:rsidR="00D51252">
        <w:t xml:space="preserve"> (blue line), and </w:t>
      </w:r>
      <w:r>
        <w:t xml:space="preserve">bottom-hole injection pressure </w:t>
      </w:r>
      <w:r w:rsidR="00D51252">
        <w:t xml:space="preserve">(red line) </w:t>
      </w:r>
      <w:r>
        <w:t>for well I1</w:t>
      </w:r>
      <w:r w:rsidR="00D51252">
        <w:t>.</w:t>
      </w:r>
    </w:p>
    <w:p w14:paraId="52DBDD41" w14:textId="51120A78" w:rsidR="005C4645" w:rsidRPr="00062A9C" w:rsidRDefault="003D56FE" w:rsidP="005C4645">
      <w:r>
        <w:lastRenderedPageBreak/>
        <w:t>For all three scenarios</w:t>
      </w:r>
      <w:r w:rsidR="009C1C4D">
        <w:t>,</w:t>
      </w:r>
      <w:r>
        <w:t xml:space="preserve"> t</w:t>
      </w:r>
      <w:r w:rsidR="00824881" w:rsidRPr="00062A9C">
        <w:t>he</w:t>
      </w:r>
      <w:r w:rsidR="00824881">
        <w:t xml:space="preserve"> reservoir</w:t>
      </w:r>
      <w:r w:rsidR="00824881" w:rsidRPr="00062A9C">
        <w:t xml:space="preserve"> flow simulation model is run for </w:t>
      </w:r>
      <w:r w:rsidR="00824881">
        <w:t>1100</w:t>
      </w:r>
      <w:r w:rsidR="00824881" w:rsidRPr="00062A9C">
        <w:t xml:space="preserve"> days, from which we obtain </w:t>
      </w:r>
      <w:r w:rsidR="003E3232">
        <w:t>static</w:t>
      </w:r>
      <w:r w:rsidR="003E3232" w:rsidRPr="00062A9C">
        <w:t xml:space="preserve"> </w:t>
      </w:r>
      <w:r w:rsidR="004C0C92">
        <w:t xml:space="preserve">and </w:t>
      </w:r>
      <w:r w:rsidR="003E3232">
        <w:t xml:space="preserve">dynamic </w:t>
      </w:r>
      <w:r w:rsidR="00E37E9A">
        <w:t>predictor features</w:t>
      </w:r>
      <w:r w:rsidR="004C0C92">
        <w:t>,</w:t>
      </w:r>
      <w:r w:rsidR="00A46470">
        <w:t xml:space="preserve"> for example</w:t>
      </w:r>
      <w:r w:rsidR="009C1C4D">
        <w:t>,</w:t>
      </w:r>
      <w:r w:rsidR="00824881" w:rsidRPr="00062A9C">
        <w:t xml:space="preserve"> oil </w:t>
      </w:r>
      <w:r w:rsidR="00824881">
        <w:t>rate</w:t>
      </w:r>
      <w:r w:rsidR="00824881" w:rsidRPr="00062A9C">
        <w:t xml:space="preserve">, water </w:t>
      </w:r>
      <w:r w:rsidR="00824881">
        <w:t>rate</w:t>
      </w:r>
      <w:r w:rsidR="00824881" w:rsidRPr="00062A9C">
        <w:t xml:space="preserve">, water cut, bottom-hole pressure, porosity, permeability, thickness, initial pressure, well name, position, production layer, and formation. The data </w:t>
      </w:r>
      <w:r w:rsidR="00824881">
        <w:t>from the numerical simulator is</w:t>
      </w:r>
      <w:r w:rsidR="00824881" w:rsidRPr="00062A9C">
        <w:t xml:space="preserve"> transformed into a tabular form where each row can be identified with a time step and a corresponding </w:t>
      </w:r>
      <w:r w:rsidR="00824881">
        <w:t>response feature</w:t>
      </w:r>
      <w:r w:rsidR="00824881" w:rsidRPr="00062A9C">
        <w:t>.</w:t>
      </w:r>
      <w:r w:rsidR="00670915">
        <w:t xml:space="preserve"> </w:t>
      </w:r>
      <w:r w:rsidR="005C4645">
        <w:fldChar w:fldCharType="begin"/>
      </w:r>
      <w:r w:rsidR="005C4645">
        <w:instrText xml:space="preserve"> REF _Ref127200383 \h </w:instrText>
      </w:r>
      <w:r w:rsidR="005C4645">
        <w:fldChar w:fldCharType="separate"/>
      </w:r>
      <w:r w:rsidR="00B11BFB">
        <w:t xml:space="preserve">Table </w:t>
      </w:r>
      <w:r w:rsidR="00B11BFB">
        <w:rPr>
          <w:noProof/>
        </w:rPr>
        <w:t>1</w:t>
      </w:r>
      <w:r w:rsidR="005C4645">
        <w:fldChar w:fldCharType="end"/>
      </w:r>
      <w:r w:rsidR="005C4645" w:rsidRPr="00062A9C">
        <w:t xml:space="preserve"> shows a truncated example of </w:t>
      </w:r>
      <w:r w:rsidR="005F40EA">
        <w:t>a</w:t>
      </w:r>
      <w:r w:rsidR="005C4645" w:rsidRPr="00062A9C">
        <w:t xml:space="preserve"> dataset</w:t>
      </w:r>
      <w:r w:rsidR="005F40EA">
        <w:t xml:space="preserve"> used</w:t>
      </w:r>
      <w:r w:rsidR="005C4645" w:rsidRPr="00062A9C">
        <w:t xml:space="preserve"> to train the TFT-based surrogate flow model</w:t>
      </w:r>
      <w:r w:rsidR="005C4645">
        <w:t xml:space="preserve">. </w:t>
      </w:r>
      <w:r w:rsidR="005C4645" w:rsidRPr="00062A9C">
        <w:t xml:space="preserve">The dataset consists of </w:t>
      </w:r>
      <w:r w:rsidR="005C4645">
        <w:t xml:space="preserve">multiple </w:t>
      </w:r>
      <w:r w:rsidR="005C4645" w:rsidRPr="00062A9C">
        <w:t xml:space="preserve">entries with corresponding </w:t>
      </w:r>
      <w:r w:rsidR="00537C71">
        <w:t>static</w:t>
      </w:r>
      <w:r w:rsidR="00537C71" w:rsidRPr="00062A9C">
        <w:t xml:space="preserve"> </w:t>
      </w:r>
      <w:r w:rsidR="005C4645" w:rsidRPr="00062A9C">
        <w:t xml:space="preserve">and </w:t>
      </w:r>
      <w:r w:rsidR="00537C71">
        <w:t>dynamic</w:t>
      </w:r>
      <w:r w:rsidR="00537C71" w:rsidRPr="00062A9C">
        <w:t xml:space="preserve"> </w:t>
      </w:r>
      <w:r w:rsidR="00E37E9A">
        <w:t>predictor features</w:t>
      </w:r>
      <w:r w:rsidR="00E37E9A" w:rsidRPr="00062A9C">
        <w:t xml:space="preserve"> </w:t>
      </w:r>
      <w:r w:rsidR="005C4645" w:rsidRPr="00062A9C">
        <w:t>to forecast pressure</w:t>
      </w:r>
      <w:r w:rsidR="005C4645">
        <w:t>, water,</w:t>
      </w:r>
      <w:r w:rsidR="005C4645" w:rsidRPr="00062A9C">
        <w:t xml:space="preserve"> and </w:t>
      </w:r>
      <w:r w:rsidR="005C4645">
        <w:t>oil rate</w:t>
      </w:r>
      <w:r w:rsidR="00B121CA">
        <w:t>.</w:t>
      </w:r>
    </w:p>
    <w:tbl>
      <w:tblPr>
        <w:tblStyle w:val="TableGrid"/>
        <w:tblpPr w:leftFromText="180" w:rightFromText="180" w:vertAnchor="text" w:horzAnchor="margin" w:tblpY="898"/>
        <w:tblW w:w="9866" w:type="dxa"/>
        <w:tblLook w:val="04A0" w:firstRow="1" w:lastRow="0" w:firstColumn="1" w:lastColumn="0" w:noHBand="0" w:noVBand="1"/>
      </w:tblPr>
      <w:tblGrid>
        <w:gridCol w:w="545"/>
        <w:gridCol w:w="717"/>
        <w:gridCol w:w="790"/>
        <w:gridCol w:w="901"/>
        <w:gridCol w:w="857"/>
        <w:gridCol w:w="1168"/>
        <w:gridCol w:w="836"/>
        <w:gridCol w:w="836"/>
        <w:gridCol w:w="1017"/>
        <w:gridCol w:w="376"/>
        <w:gridCol w:w="999"/>
        <w:gridCol w:w="999"/>
      </w:tblGrid>
      <w:tr w:rsidR="005C4645" w:rsidRPr="00062A9C" w14:paraId="7C4566BB" w14:textId="77777777" w:rsidTr="0033329D">
        <w:trPr>
          <w:trHeight w:val="343"/>
        </w:trPr>
        <w:tc>
          <w:tcPr>
            <w:tcW w:w="537" w:type="dxa"/>
            <w:noWrap/>
            <w:vAlign w:val="center"/>
            <w:hideMark/>
          </w:tcPr>
          <w:p w14:paraId="57C3F92D" w14:textId="77777777" w:rsidR="005C4645" w:rsidRPr="006D3A97" w:rsidRDefault="005C4645" w:rsidP="0033329D">
            <w:pPr>
              <w:spacing w:before="240" w:line="240" w:lineRule="auto"/>
              <w:jc w:val="center"/>
              <w:rPr>
                <w:rFonts w:eastAsia="Times New Roman" w:cs="Arial"/>
                <w:b/>
                <w:bCs/>
                <w:color w:val="000000"/>
                <w:sz w:val="16"/>
                <w:szCs w:val="16"/>
              </w:rPr>
            </w:pPr>
            <w:r w:rsidRPr="006D3A97">
              <w:rPr>
                <w:rFonts w:eastAsia="Times New Roman" w:cs="Arial"/>
                <w:b/>
                <w:bCs/>
                <w:color w:val="000000"/>
                <w:sz w:val="16"/>
                <w:szCs w:val="16"/>
              </w:rPr>
              <w:t>Well</w:t>
            </w:r>
          </w:p>
        </w:tc>
        <w:tc>
          <w:tcPr>
            <w:tcW w:w="717" w:type="dxa"/>
            <w:noWrap/>
            <w:vAlign w:val="center"/>
            <w:hideMark/>
          </w:tcPr>
          <w:p w14:paraId="143B2923" w14:textId="77777777" w:rsidR="005C4645" w:rsidRPr="006D3A97" w:rsidRDefault="005C4645" w:rsidP="0033329D">
            <w:pPr>
              <w:widowControl/>
              <w:spacing w:before="240" w:line="240" w:lineRule="auto"/>
              <w:jc w:val="center"/>
              <w:rPr>
                <w:rFonts w:eastAsia="Times New Roman" w:cs="Arial"/>
                <w:b/>
                <w:bCs/>
                <w:color w:val="000000"/>
                <w:sz w:val="16"/>
                <w:szCs w:val="16"/>
              </w:rPr>
            </w:pPr>
            <w:r w:rsidRPr="006D3A97">
              <w:rPr>
                <w:rFonts w:eastAsia="Times New Roman" w:cs="Arial"/>
                <w:b/>
                <w:bCs/>
                <w:color w:val="000000"/>
                <w:sz w:val="16"/>
                <w:szCs w:val="16"/>
              </w:rPr>
              <w:t>Oil rate</w:t>
            </w:r>
          </w:p>
          <w:p w14:paraId="3CA5EBDF" w14:textId="77777777" w:rsidR="005C4645" w:rsidRPr="006D3A97" w:rsidRDefault="005C4645" w:rsidP="0033329D">
            <w:pPr>
              <w:spacing w:before="240" w:line="240" w:lineRule="auto"/>
              <w:jc w:val="center"/>
              <w:rPr>
                <w:rFonts w:eastAsia="Times New Roman" w:cs="Arial"/>
                <w:b/>
                <w:bCs/>
                <w:color w:val="000000"/>
                <w:sz w:val="16"/>
                <w:szCs w:val="16"/>
              </w:rPr>
            </w:pPr>
            <m:oMathPara>
              <m:oMath>
                <m:r>
                  <m:rPr>
                    <m:sty m:val="bi"/>
                  </m:rPr>
                  <w:rPr>
                    <w:rFonts w:ascii="Cambria Math" w:eastAsia="Times New Roman" w:hAnsi="Cambria Math" w:cs="Arial"/>
                    <w:color w:val="000000"/>
                    <w:sz w:val="16"/>
                    <w:szCs w:val="16"/>
                  </w:rPr>
                  <m:t>[bbl/day]</m:t>
                </m:r>
              </m:oMath>
            </m:oMathPara>
          </w:p>
        </w:tc>
        <w:tc>
          <w:tcPr>
            <w:tcW w:w="790" w:type="dxa"/>
            <w:noWrap/>
            <w:vAlign w:val="center"/>
            <w:hideMark/>
          </w:tcPr>
          <w:p w14:paraId="4456A0C7" w14:textId="77777777" w:rsidR="005C4645" w:rsidRPr="006D3A97" w:rsidRDefault="005C4645" w:rsidP="0033329D">
            <w:pPr>
              <w:widowControl/>
              <w:spacing w:before="240" w:line="240" w:lineRule="auto"/>
              <w:jc w:val="center"/>
              <w:rPr>
                <w:rFonts w:eastAsia="Times New Roman" w:cs="Arial"/>
                <w:b/>
                <w:bCs/>
                <w:color w:val="000000"/>
                <w:sz w:val="16"/>
                <w:szCs w:val="16"/>
              </w:rPr>
            </w:pPr>
            <w:r w:rsidRPr="006D3A97">
              <w:rPr>
                <w:rFonts w:eastAsia="Times New Roman" w:cs="Arial"/>
                <w:b/>
                <w:bCs/>
                <w:color w:val="000000"/>
                <w:sz w:val="16"/>
                <w:szCs w:val="16"/>
              </w:rPr>
              <w:t>Water rate</w:t>
            </w:r>
          </w:p>
          <w:p w14:paraId="4A62D92B" w14:textId="77777777" w:rsidR="005C4645" w:rsidRPr="006D3A97" w:rsidRDefault="005C4645" w:rsidP="0033329D">
            <w:pPr>
              <w:spacing w:before="240" w:line="240" w:lineRule="auto"/>
              <w:jc w:val="center"/>
              <w:rPr>
                <w:rFonts w:eastAsia="Times New Roman" w:cs="Arial"/>
                <w:b/>
                <w:bCs/>
                <w:color w:val="000000"/>
                <w:sz w:val="16"/>
                <w:szCs w:val="16"/>
              </w:rPr>
            </w:pPr>
            <m:oMathPara>
              <m:oMath>
                <m:r>
                  <m:rPr>
                    <m:sty m:val="bi"/>
                  </m:rPr>
                  <w:rPr>
                    <w:rFonts w:ascii="Cambria Math" w:eastAsia="Times New Roman" w:hAnsi="Cambria Math" w:cs="Arial"/>
                    <w:color w:val="000000"/>
                    <w:sz w:val="16"/>
                    <w:szCs w:val="16"/>
                  </w:rPr>
                  <m:t>[bbl/day]</m:t>
                </m:r>
              </m:oMath>
            </m:oMathPara>
          </w:p>
        </w:tc>
        <w:tc>
          <w:tcPr>
            <w:tcW w:w="888" w:type="dxa"/>
            <w:noWrap/>
            <w:vAlign w:val="center"/>
            <w:hideMark/>
          </w:tcPr>
          <w:p w14:paraId="4D322F85" w14:textId="77777777" w:rsidR="005C4645" w:rsidRPr="006D3A97" w:rsidRDefault="005C4645" w:rsidP="0033329D">
            <w:pPr>
              <w:widowControl/>
              <w:spacing w:before="240" w:line="240" w:lineRule="auto"/>
              <w:jc w:val="center"/>
              <w:rPr>
                <w:rFonts w:eastAsia="Times New Roman" w:cs="Arial"/>
                <w:b/>
                <w:bCs/>
                <w:color w:val="000000"/>
                <w:sz w:val="16"/>
                <w:szCs w:val="16"/>
              </w:rPr>
            </w:pPr>
            <w:r w:rsidRPr="006D3A97">
              <w:rPr>
                <w:rFonts w:eastAsia="Times New Roman" w:cs="Arial"/>
                <w:b/>
                <w:bCs/>
                <w:color w:val="000000"/>
                <w:sz w:val="16"/>
                <w:szCs w:val="16"/>
              </w:rPr>
              <w:t>Pressure</w:t>
            </w:r>
          </w:p>
          <w:p w14:paraId="1955E68C" w14:textId="77777777" w:rsidR="005C4645" w:rsidRPr="006D3A97" w:rsidRDefault="005C4645" w:rsidP="0033329D">
            <w:pPr>
              <w:spacing w:before="240" w:line="240" w:lineRule="auto"/>
              <w:jc w:val="center"/>
              <w:rPr>
                <w:rFonts w:eastAsia="Times New Roman" w:cs="Arial"/>
                <w:b/>
                <w:bCs/>
                <w:color w:val="000000"/>
                <w:sz w:val="16"/>
                <w:szCs w:val="16"/>
              </w:rPr>
            </w:pPr>
            <m:oMathPara>
              <m:oMath>
                <m:r>
                  <m:rPr>
                    <m:sty m:val="bi"/>
                  </m:rPr>
                  <w:rPr>
                    <w:rFonts w:ascii="Cambria Math" w:eastAsia="Times New Roman" w:hAnsi="Cambria Math" w:cs="Arial"/>
                    <w:color w:val="000000"/>
                    <w:sz w:val="16"/>
                    <w:szCs w:val="16"/>
                  </w:rPr>
                  <m:t>psia</m:t>
                </m:r>
              </m:oMath>
            </m:oMathPara>
          </w:p>
        </w:tc>
        <w:tc>
          <w:tcPr>
            <w:tcW w:w="845" w:type="dxa"/>
            <w:noWrap/>
            <w:vAlign w:val="center"/>
            <w:hideMark/>
          </w:tcPr>
          <w:p w14:paraId="0F7A4B8D" w14:textId="77777777" w:rsidR="005C4645" w:rsidRPr="006D3A97" w:rsidRDefault="005C4645" w:rsidP="0033329D">
            <w:pPr>
              <w:widowControl/>
              <w:spacing w:before="240" w:line="240" w:lineRule="auto"/>
              <w:jc w:val="center"/>
              <w:rPr>
                <w:rFonts w:eastAsia="Times New Roman" w:cs="Arial"/>
                <w:b/>
                <w:bCs/>
                <w:color w:val="000000"/>
                <w:sz w:val="16"/>
                <w:szCs w:val="16"/>
              </w:rPr>
            </w:pPr>
            <w:r w:rsidRPr="006D3A97">
              <w:rPr>
                <w:rFonts w:eastAsia="Times New Roman" w:cs="Arial"/>
                <w:b/>
                <w:bCs/>
                <w:color w:val="000000"/>
                <w:sz w:val="16"/>
                <w:szCs w:val="16"/>
              </w:rPr>
              <w:t>Porosity</w:t>
            </w:r>
          </w:p>
          <w:p w14:paraId="61B106A9" w14:textId="77777777" w:rsidR="005C4645" w:rsidRPr="006D3A97" w:rsidRDefault="005C4645" w:rsidP="0033329D">
            <w:pPr>
              <w:spacing w:before="240" w:line="240" w:lineRule="auto"/>
              <w:jc w:val="center"/>
              <w:rPr>
                <w:rFonts w:eastAsia="Times New Roman" w:cs="Arial"/>
                <w:b/>
                <w:bCs/>
                <w:color w:val="000000"/>
                <w:sz w:val="16"/>
                <w:szCs w:val="16"/>
              </w:rPr>
            </w:pPr>
            <w:r w:rsidRPr="006D3A97">
              <w:rPr>
                <w:rFonts w:eastAsia="Times New Roman" w:cs="Arial"/>
                <w:b/>
                <w:bCs/>
                <w:color w:val="000000"/>
                <w:sz w:val="16"/>
                <w:szCs w:val="16"/>
              </w:rPr>
              <w:t>Fraction</w:t>
            </w:r>
          </w:p>
        </w:tc>
        <w:tc>
          <w:tcPr>
            <w:tcW w:w="1152" w:type="dxa"/>
            <w:noWrap/>
            <w:vAlign w:val="center"/>
            <w:hideMark/>
          </w:tcPr>
          <w:p w14:paraId="5F596233" w14:textId="77777777" w:rsidR="005C4645" w:rsidRPr="006D3A97" w:rsidRDefault="005C4645" w:rsidP="0033329D">
            <w:pPr>
              <w:widowControl/>
              <w:spacing w:before="240" w:line="240" w:lineRule="auto"/>
              <w:jc w:val="center"/>
              <w:rPr>
                <w:rFonts w:eastAsia="Times New Roman" w:cs="Arial"/>
                <w:b/>
                <w:bCs/>
                <w:color w:val="000000"/>
                <w:sz w:val="16"/>
                <w:szCs w:val="16"/>
              </w:rPr>
            </w:pPr>
            <w:r w:rsidRPr="006D3A97">
              <w:rPr>
                <w:rFonts w:eastAsia="Times New Roman" w:cs="Arial"/>
                <w:b/>
                <w:bCs/>
                <w:color w:val="000000"/>
                <w:sz w:val="16"/>
                <w:szCs w:val="16"/>
              </w:rPr>
              <w:t>Permeability</w:t>
            </w:r>
          </w:p>
          <w:p w14:paraId="03193272" w14:textId="77777777" w:rsidR="005C4645" w:rsidRPr="006D3A97" w:rsidRDefault="005C4645" w:rsidP="0033329D">
            <w:pPr>
              <w:spacing w:before="240" w:line="240" w:lineRule="auto"/>
              <w:jc w:val="center"/>
              <w:rPr>
                <w:rFonts w:eastAsia="Times New Roman" w:cs="Arial"/>
                <w:b/>
                <w:bCs/>
                <w:color w:val="000000"/>
                <w:sz w:val="16"/>
                <w:szCs w:val="16"/>
              </w:rPr>
            </w:pPr>
            <w:proofErr w:type="spellStart"/>
            <w:r w:rsidRPr="006D3A97">
              <w:rPr>
                <w:rFonts w:eastAsia="Times New Roman" w:cs="Arial"/>
                <w:b/>
                <w:bCs/>
                <w:color w:val="000000"/>
                <w:sz w:val="16"/>
                <w:szCs w:val="16"/>
              </w:rPr>
              <w:t>mD</w:t>
            </w:r>
            <w:proofErr w:type="spellEnd"/>
          </w:p>
        </w:tc>
        <w:tc>
          <w:tcPr>
            <w:tcW w:w="836" w:type="dxa"/>
            <w:noWrap/>
            <w:vAlign w:val="center"/>
            <w:hideMark/>
          </w:tcPr>
          <w:p w14:paraId="78B0F2D0" w14:textId="77777777" w:rsidR="005C4645" w:rsidRDefault="005C4645" w:rsidP="0033329D">
            <w:pPr>
              <w:spacing w:before="240" w:line="240" w:lineRule="auto"/>
              <w:jc w:val="center"/>
              <w:rPr>
                <w:rFonts w:eastAsia="Times New Roman" w:cs="Arial"/>
                <w:b/>
                <w:bCs/>
                <w:color w:val="000000"/>
                <w:sz w:val="16"/>
                <w:szCs w:val="16"/>
              </w:rPr>
            </w:pPr>
            <w:r>
              <w:rPr>
                <w:rFonts w:eastAsia="Times New Roman" w:cs="Arial"/>
                <w:b/>
                <w:bCs/>
                <w:color w:val="000000"/>
                <w:sz w:val="16"/>
                <w:szCs w:val="16"/>
              </w:rPr>
              <w:t>Feature</w:t>
            </w:r>
            <w:r w:rsidRPr="006D3A97">
              <w:rPr>
                <w:rFonts w:eastAsia="Times New Roman" w:cs="Arial"/>
                <w:b/>
                <w:bCs/>
                <w:color w:val="000000"/>
                <w:sz w:val="16"/>
                <w:szCs w:val="16"/>
              </w:rPr>
              <w:t xml:space="preserve"> </w:t>
            </w:r>
            <w:proofErr w:type="spellStart"/>
            <w:r>
              <w:rPr>
                <w:rFonts w:eastAsia="Times New Roman" w:cs="Arial"/>
                <w:b/>
                <w:bCs/>
                <w:color w:val="000000"/>
                <w:sz w:val="16"/>
                <w:szCs w:val="16"/>
              </w:rPr>
              <w:t>kh</w:t>
            </w:r>
            <w:proofErr w:type="spellEnd"/>
          </w:p>
          <w:p w14:paraId="376006A2" w14:textId="77777777" w:rsidR="005C4645" w:rsidRPr="006D3A97" w:rsidRDefault="005C4645" w:rsidP="0033329D">
            <w:pPr>
              <w:spacing w:before="240" w:line="240" w:lineRule="auto"/>
              <w:jc w:val="center"/>
              <w:rPr>
                <w:rFonts w:eastAsia="Times New Roman" w:cs="Arial"/>
                <w:b/>
                <w:bCs/>
                <w:color w:val="000000"/>
                <w:sz w:val="16"/>
                <w:szCs w:val="16"/>
              </w:rPr>
            </w:pPr>
            <m:oMathPara>
              <m:oMath>
                <m:r>
                  <m:rPr>
                    <m:sty m:val="bi"/>
                  </m:rPr>
                  <w:rPr>
                    <w:rFonts w:ascii="Cambria Math" w:eastAsia="Times New Roman" w:hAnsi="Cambria Math" w:cs="Arial"/>
                    <w:color w:val="000000"/>
                    <w:sz w:val="16"/>
                    <w:szCs w:val="16"/>
                  </w:rPr>
                  <m:t>mD</m:t>
                </m:r>
              </m:oMath>
            </m:oMathPara>
          </w:p>
        </w:tc>
        <w:tc>
          <w:tcPr>
            <w:tcW w:w="836" w:type="dxa"/>
            <w:noWrap/>
            <w:vAlign w:val="center"/>
            <w:hideMark/>
          </w:tcPr>
          <w:p w14:paraId="79EB4300" w14:textId="77777777" w:rsidR="005C4645" w:rsidRDefault="005C4645" w:rsidP="0033329D">
            <w:pPr>
              <w:spacing w:before="240" w:line="240" w:lineRule="auto"/>
              <w:jc w:val="center"/>
              <w:rPr>
                <w:rFonts w:eastAsia="Times New Roman" w:cs="Arial"/>
                <w:b/>
                <w:bCs/>
                <w:color w:val="000000"/>
                <w:sz w:val="16"/>
                <w:szCs w:val="16"/>
              </w:rPr>
            </w:pPr>
            <w:r>
              <w:rPr>
                <w:rFonts w:eastAsia="Times New Roman" w:cs="Arial"/>
                <w:b/>
                <w:bCs/>
                <w:color w:val="000000"/>
                <w:sz w:val="16"/>
                <w:szCs w:val="16"/>
              </w:rPr>
              <w:t xml:space="preserve">Feature </w:t>
            </w:r>
            <m:oMath>
              <m:r>
                <m:rPr>
                  <m:sty m:val="bi"/>
                </m:rPr>
                <w:rPr>
                  <w:rFonts w:ascii="Cambria Math" w:eastAsia="Times New Roman" w:hAnsi="Cambria Math" w:cs="Arial"/>
                  <w:color w:val="000000"/>
                  <w:sz w:val="16"/>
                  <w:szCs w:val="16"/>
                </w:rPr>
                <m:t>ϕh</m:t>
              </m:r>
            </m:oMath>
          </w:p>
          <w:p w14:paraId="51764226" w14:textId="77777777" w:rsidR="005C4645" w:rsidRPr="006D3A97" w:rsidRDefault="005C4645" w:rsidP="0033329D">
            <w:pPr>
              <w:spacing w:before="240" w:line="240" w:lineRule="auto"/>
              <w:jc w:val="center"/>
              <w:rPr>
                <w:rFonts w:eastAsia="Times New Roman" w:cs="Arial"/>
                <w:b/>
                <w:bCs/>
                <w:color w:val="000000"/>
                <w:sz w:val="16"/>
                <w:szCs w:val="16"/>
              </w:rPr>
            </w:pPr>
            <w:r>
              <w:rPr>
                <w:rFonts w:eastAsia="Times New Roman" w:cs="Arial"/>
                <w:b/>
                <w:bCs/>
                <w:color w:val="000000"/>
                <w:sz w:val="16"/>
                <w:szCs w:val="16"/>
              </w:rPr>
              <w:t>frac</w:t>
            </w:r>
          </w:p>
        </w:tc>
        <w:tc>
          <w:tcPr>
            <w:tcW w:w="915" w:type="dxa"/>
            <w:noWrap/>
            <w:vAlign w:val="center"/>
            <w:hideMark/>
          </w:tcPr>
          <w:p w14:paraId="40D47C0E" w14:textId="77777777" w:rsidR="005C4645" w:rsidRPr="006D3A97" w:rsidRDefault="005C4645" w:rsidP="0033329D">
            <w:pPr>
              <w:spacing w:before="240" w:line="240" w:lineRule="auto"/>
              <w:jc w:val="center"/>
              <w:rPr>
                <w:rFonts w:eastAsia="Times New Roman" w:cs="Arial"/>
                <w:b/>
                <w:bCs/>
                <w:color w:val="000000"/>
                <w:sz w:val="16"/>
                <w:szCs w:val="16"/>
              </w:rPr>
            </w:pPr>
            <w:r w:rsidRPr="006D3A97">
              <w:rPr>
                <w:rFonts w:eastAsia="Times New Roman" w:cs="Arial"/>
                <w:b/>
                <w:bCs/>
                <w:color w:val="000000"/>
                <w:sz w:val="16"/>
                <w:szCs w:val="16"/>
              </w:rPr>
              <w:t>Date</w:t>
            </w:r>
          </w:p>
        </w:tc>
        <w:tc>
          <w:tcPr>
            <w:tcW w:w="370" w:type="dxa"/>
            <w:noWrap/>
            <w:vAlign w:val="center"/>
            <w:hideMark/>
          </w:tcPr>
          <w:p w14:paraId="32A7ED2B" w14:textId="77777777" w:rsidR="005C4645" w:rsidRPr="006D3A97" w:rsidRDefault="005C4645" w:rsidP="0033329D">
            <w:pPr>
              <w:spacing w:before="240" w:line="240" w:lineRule="auto"/>
              <w:jc w:val="center"/>
              <w:rPr>
                <w:rFonts w:eastAsia="Times New Roman" w:cs="Arial"/>
                <w:b/>
                <w:bCs/>
                <w:color w:val="000000"/>
                <w:sz w:val="16"/>
                <w:szCs w:val="16"/>
              </w:rPr>
            </w:pPr>
            <w:r w:rsidRPr="006D3A97">
              <w:rPr>
                <w:rFonts w:eastAsia="Times New Roman" w:cs="Arial"/>
                <w:b/>
                <w:bCs/>
                <w:color w:val="000000"/>
                <w:sz w:val="16"/>
                <w:szCs w:val="16"/>
              </w:rPr>
              <w:t>…</w:t>
            </w:r>
          </w:p>
        </w:tc>
        <w:tc>
          <w:tcPr>
            <w:tcW w:w="995" w:type="dxa"/>
            <w:noWrap/>
            <w:vAlign w:val="center"/>
            <w:hideMark/>
          </w:tcPr>
          <w:p w14:paraId="6F425A6B" w14:textId="77777777" w:rsidR="005C4645" w:rsidRPr="006D3A97" w:rsidRDefault="005C4645" w:rsidP="0033329D">
            <w:pPr>
              <w:widowControl/>
              <w:spacing w:before="240" w:line="240" w:lineRule="auto"/>
              <w:jc w:val="center"/>
              <w:rPr>
                <w:rFonts w:eastAsia="Times New Roman" w:cs="Arial"/>
                <w:b/>
                <w:bCs/>
                <w:color w:val="000000"/>
                <w:sz w:val="16"/>
                <w:szCs w:val="16"/>
              </w:rPr>
            </w:pPr>
            <w:r w:rsidRPr="006D3A97">
              <w:rPr>
                <w:rFonts w:eastAsia="Times New Roman" w:cs="Arial"/>
                <w:b/>
                <w:bCs/>
                <w:color w:val="000000"/>
                <w:sz w:val="16"/>
                <w:szCs w:val="16"/>
              </w:rPr>
              <w:t>Thickness</w:t>
            </w:r>
          </w:p>
          <w:p w14:paraId="5F93A5DE" w14:textId="77777777" w:rsidR="005C4645" w:rsidRPr="006D3A97" w:rsidRDefault="005C4645" w:rsidP="0033329D">
            <w:pPr>
              <w:spacing w:before="240" w:line="240" w:lineRule="auto"/>
              <w:jc w:val="center"/>
              <w:rPr>
                <w:rFonts w:eastAsia="Times New Roman" w:cs="Arial"/>
                <w:b/>
                <w:bCs/>
                <w:color w:val="000000"/>
                <w:sz w:val="16"/>
                <w:szCs w:val="16"/>
              </w:rPr>
            </w:pPr>
            <m:oMathPara>
              <m:oMath>
                <m:r>
                  <m:rPr>
                    <m:sty m:val="bi"/>
                  </m:rPr>
                  <w:rPr>
                    <w:rFonts w:ascii="Cambria Math" w:eastAsia="Times New Roman" w:hAnsi="Cambria Math" w:cs="Arial"/>
                    <w:color w:val="000000"/>
                    <w:sz w:val="16"/>
                    <w:szCs w:val="16"/>
                  </w:rPr>
                  <m:t>[ft]</m:t>
                </m:r>
              </m:oMath>
            </m:oMathPara>
          </w:p>
        </w:tc>
        <w:tc>
          <w:tcPr>
            <w:tcW w:w="985" w:type="dxa"/>
            <w:noWrap/>
            <w:vAlign w:val="center"/>
            <w:hideMark/>
          </w:tcPr>
          <w:p w14:paraId="3E4F1E2D" w14:textId="77777777" w:rsidR="005C4645" w:rsidRPr="006D3A97" w:rsidRDefault="005C4645" w:rsidP="0033329D">
            <w:pPr>
              <w:spacing w:before="240" w:line="240" w:lineRule="auto"/>
              <w:jc w:val="center"/>
              <w:rPr>
                <w:rFonts w:eastAsia="Times New Roman" w:cs="Arial"/>
                <w:b/>
                <w:bCs/>
                <w:color w:val="000000"/>
                <w:sz w:val="16"/>
                <w:szCs w:val="16"/>
              </w:rPr>
            </w:pPr>
            <w:r w:rsidRPr="006D3A97">
              <w:rPr>
                <w:rFonts w:eastAsia="Times New Roman" w:cs="Arial"/>
                <w:b/>
                <w:bCs/>
                <w:color w:val="000000"/>
                <w:sz w:val="16"/>
                <w:szCs w:val="16"/>
              </w:rPr>
              <w:t>Formation</w:t>
            </w:r>
          </w:p>
        </w:tc>
      </w:tr>
      <w:tr w:rsidR="005C4645" w:rsidRPr="00062A9C" w14:paraId="680DC142" w14:textId="77777777" w:rsidTr="0033329D">
        <w:trPr>
          <w:trHeight w:val="343"/>
        </w:trPr>
        <w:tc>
          <w:tcPr>
            <w:tcW w:w="537" w:type="dxa"/>
            <w:noWrap/>
            <w:vAlign w:val="center"/>
            <w:hideMark/>
          </w:tcPr>
          <w:p w14:paraId="0D831197"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w:t>
            </w:r>
          </w:p>
        </w:tc>
        <w:tc>
          <w:tcPr>
            <w:tcW w:w="717" w:type="dxa"/>
            <w:noWrap/>
            <w:vAlign w:val="center"/>
            <w:hideMark/>
          </w:tcPr>
          <w:p w14:paraId="784698DB"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598.4</w:t>
            </w:r>
          </w:p>
        </w:tc>
        <w:tc>
          <w:tcPr>
            <w:tcW w:w="790" w:type="dxa"/>
            <w:noWrap/>
            <w:vAlign w:val="center"/>
            <w:hideMark/>
          </w:tcPr>
          <w:p w14:paraId="476302F1"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w:t>
            </w:r>
          </w:p>
        </w:tc>
        <w:tc>
          <w:tcPr>
            <w:tcW w:w="888" w:type="dxa"/>
            <w:noWrap/>
            <w:vAlign w:val="center"/>
            <w:hideMark/>
          </w:tcPr>
          <w:p w14:paraId="3C74BB48"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3800.00</w:t>
            </w:r>
          </w:p>
        </w:tc>
        <w:tc>
          <w:tcPr>
            <w:tcW w:w="845" w:type="dxa"/>
            <w:noWrap/>
            <w:vAlign w:val="center"/>
            <w:hideMark/>
          </w:tcPr>
          <w:p w14:paraId="654189ED"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0.099</w:t>
            </w:r>
          </w:p>
        </w:tc>
        <w:tc>
          <w:tcPr>
            <w:tcW w:w="1152" w:type="dxa"/>
            <w:noWrap/>
            <w:vAlign w:val="center"/>
            <w:hideMark/>
          </w:tcPr>
          <w:p w14:paraId="1E5541F6"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0.64</w:t>
            </w:r>
          </w:p>
        </w:tc>
        <w:tc>
          <w:tcPr>
            <w:tcW w:w="836" w:type="dxa"/>
            <w:noWrap/>
            <w:vAlign w:val="center"/>
            <w:hideMark/>
          </w:tcPr>
          <w:p w14:paraId="47D02D51" w14:textId="77777777" w:rsidR="005C4645" w:rsidRPr="00062A9C" w:rsidRDefault="005C4645" w:rsidP="0033329D">
            <w:pPr>
              <w:spacing w:before="240" w:line="240" w:lineRule="auto"/>
              <w:jc w:val="center"/>
              <w:rPr>
                <w:rFonts w:eastAsia="Times New Roman" w:cs="Arial"/>
                <w:color w:val="000000"/>
                <w:sz w:val="16"/>
                <w:szCs w:val="16"/>
              </w:rPr>
            </w:pPr>
            <w:r>
              <w:rPr>
                <w:rFonts w:eastAsia="Times New Roman" w:cs="Arial"/>
                <w:color w:val="000000"/>
                <w:sz w:val="16"/>
                <w:szCs w:val="16"/>
              </w:rPr>
              <w:t>0.05456</w:t>
            </w:r>
          </w:p>
        </w:tc>
        <w:tc>
          <w:tcPr>
            <w:tcW w:w="836" w:type="dxa"/>
            <w:noWrap/>
            <w:vAlign w:val="center"/>
            <w:hideMark/>
          </w:tcPr>
          <w:p w14:paraId="18676A0C" w14:textId="77777777" w:rsidR="005C4645" w:rsidRPr="00062A9C" w:rsidRDefault="005C4645" w:rsidP="0033329D">
            <w:pPr>
              <w:spacing w:before="240" w:line="240" w:lineRule="auto"/>
              <w:jc w:val="center"/>
              <w:rPr>
                <w:rFonts w:eastAsia="Times New Roman" w:cs="Arial"/>
                <w:color w:val="000000"/>
                <w:sz w:val="16"/>
                <w:szCs w:val="16"/>
              </w:rPr>
            </w:pPr>
            <w:r>
              <w:rPr>
                <w:rFonts w:eastAsia="Times New Roman" w:cs="Arial"/>
                <w:color w:val="000000"/>
                <w:sz w:val="16"/>
                <w:szCs w:val="16"/>
              </w:rPr>
              <w:t>0.0013</w:t>
            </w:r>
          </w:p>
        </w:tc>
        <w:tc>
          <w:tcPr>
            <w:tcW w:w="915" w:type="dxa"/>
            <w:noWrap/>
            <w:vAlign w:val="center"/>
            <w:hideMark/>
          </w:tcPr>
          <w:p w14:paraId="525C1E3B"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1/1/2018</w:t>
            </w:r>
          </w:p>
        </w:tc>
        <w:tc>
          <w:tcPr>
            <w:tcW w:w="370" w:type="dxa"/>
            <w:noWrap/>
            <w:vAlign w:val="center"/>
            <w:hideMark/>
          </w:tcPr>
          <w:p w14:paraId="3300AF67"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995" w:type="dxa"/>
            <w:noWrap/>
            <w:vAlign w:val="center"/>
            <w:hideMark/>
          </w:tcPr>
          <w:p w14:paraId="3C55C076"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43</w:t>
            </w:r>
          </w:p>
        </w:tc>
        <w:tc>
          <w:tcPr>
            <w:tcW w:w="985" w:type="dxa"/>
            <w:noWrap/>
            <w:vAlign w:val="center"/>
            <w:hideMark/>
          </w:tcPr>
          <w:p w14:paraId="40C531A1"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1</w:t>
            </w:r>
          </w:p>
        </w:tc>
      </w:tr>
      <w:tr w:rsidR="005C4645" w:rsidRPr="00062A9C" w14:paraId="2DDCC311" w14:textId="77777777" w:rsidTr="0033329D">
        <w:trPr>
          <w:trHeight w:val="343"/>
        </w:trPr>
        <w:tc>
          <w:tcPr>
            <w:tcW w:w="537" w:type="dxa"/>
            <w:noWrap/>
            <w:vAlign w:val="center"/>
            <w:hideMark/>
          </w:tcPr>
          <w:p w14:paraId="72BBDDA9"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w:t>
            </w:r>
          </w:p>
        </w:tc>
        <w:tc>
          <w:tcPr>
            <w:tcW w:w="717" w:type="dxa"/>
            <w:noWrap/>
            <w:vAlign w:val="center"/>
            <w:hideMark/>
          </w:tcPr>
          <w:p w14:paraId="2C3390AF"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501.8</w:t>
            </w:r>
          </w:p>
        </w:tc>
        <w:tc>
          <w:tcPr>
            <w:tcW w:w="790" w:type="dxa"/>
            <w:noWrap/>
            <w:vAlign w:val="center"/>
            <w:hideMark/>
          </w:tcPr>
          <w:p w14:paraId="51425FD1"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0.008</w:t>
            </w:r>
          </w:p>
        </w:tc>
        <w:tc>
          <w:tcPr>
            <w:tcW w:w="888" w:type="dxa"/>
            <w:noWrap/>
            <w:vAlign w:val="center"/>
            <w:hideMark/>
          </w:tcPr>
          <w:p w14:paraId="7A62B162"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3714.90</w:t>
            </w:r>
          </w:p>
        </w:tc>
        <w:tc>
          <w:tcPr>
            <w:tcW w:w="845" w:type="dxa"/>
            <w:noWrap/>
            <w:vAlign w:val="center"/>
            <w:hideMark/>
          </w:tcPr>
          <w:p w14:paraId="373C0259"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0.099</w:t>
            </w:r>
          </w:p>
        </w:tc>
        <w:tc>
          <w:tcPr>
            <w:tcW w:w="1152" w:type="dxa"/>
            <w:noWrap/>
            <w:vAlign w:val="center"/>
            <w:hideMark/>
          </w:tcPr>
          <w:p w14:paraId="1432F304"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0.64</w:t>
            </w:r>
          </w:p>
        </w:tc>
        <w:tc>
          <w:tcPr>
            <w:tcW w:w="836" w:type="dxa"/>
            <w:noWrap/>
            <w:vAlign w:val="center"/>
            <w:hideMark/>
          </w:tcPr>
          <w:p w14:paraId="01A19C66" w14:textId="77777777" w:rsidR="005C4645" w:rsidRPr="00062A9C" w:rsidRDefault="005C4645" w:rsidP="0033329D">
            <w:pPr>
              <w:spacing w:before="240" w:line="240" w:lineRule="auto"/>
              <w:jc w:val="center"/>
              <w:rPr>
                <w:rFonts w:eastAsia="Times New Roman" w:cs="Arial"/>
                <w:color w:val="000000"/>
                <w:sz w:val="16"/>
                <w:szCs w:val="16"/>
              </w:rPr>
            </w:pPr>
            <w:r>
              <w:rPr>
                <w:rFonts w:eastAsia="Times New Roman" w:cs="Arial"/>
                <w:color w:val="000000"/>
                <w:sz w:val="16"/>
                <w:szCs w:val="16"/>
              </w:rPr>
              <w:t>0.05456</w:t>
            </w:r>
          </w:p>
        </w:tc>
        <w:tc>
          <w:tcPr>
            <w:tcW w:w="836" w:type="dxa"/>
            <w:noWrap/>
            <w:vAlign w:val="center"/>
            <w:hideMark/>
          </w:tcPr>
          <w:p w14:paraId="2FF9B485" w14:textId="77777777" w:rsidR="005C4645" w:rsidRPr="00062A9C" w:rsidRDefault="005C4645" w:rsidP="0033329D">
            <w:pPr>
              <w:spacing w:before="240" w:line="240" w:lineRule="auto"/>
              <w:jc w:val="center"/>
              <w:rPr>
                <w:rFonts w:eastAsia="Times New Roman" w:cs="Arial"/>
                <w:color w:val="000000"/>
                <w:sz w:val="16"/>
                <w:szCs w:val="16"/>
              </w:rPr>
            </w:pPr>
            <w:r>
              <w:rPr>
                <w:rFonts w:eastAsia="Times New Roman" w:cs="Arial"/>
                <w:color w:val="000000"/>
                <w:sz w:val="16"/>
                <w:szCs w:val="16"/>
              </w:rPr>
              <w:t>0.0013</w:t>
            </w:r>
          </w:p>
        </w:tc>
        <w:tc>
          <w:tcPr>
            <w:tcW w:w="915" w:type="dxa"/>
            <w:noWrap/>
            <w:vAlign w:val="center"/>
            <w:hideMark/>
          </w:tcPr>
          <w:p w14:paraId="198F2664"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1/2/2018</w:t>
            </w:r>
          </w:p>
        </w:tc>
        <w:tc>
          <w:tcPr>
            <w:tcW w:w="370" w:type="dxa"/>
            <w:noWrap/>
            <w:vAlign w:val="center"/>
            <w:hideMark/>
          </w:tcPr>
          <w:p w14:paraId="23C081AA"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995" w:type="dxa"/>
            <w:noWrap/>
            <w:vAlign w:val="center"/>
            <w:hideMark/>
          </w:tcPr>
          <w:p w14:paraId="2B3B22D9"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43</w:t>
            </w:r>
          </w:p>
        </w:tc>
        <w:tc>
          <w:tcPr>
            <w:tcW w:w="985" w:type="dxa"/>
            <w:noWrap/>
            <w:vAlign w:val="center"/>
            <w:hideMark/>
          </w:tcPr>
          <w:p w14:paraId="16B4B6FD"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1</w:t>
            </w:r>
          </w:p>
        </w:tc>
      </w:tr>
      <w:tr w:rsidR="005C4645" w:rsidRPr="00062A9C" w14:paraId="009FB7B3" w14:textId="77777777" w:rsidTr="0033329D">
        <w:trPr>
          <w:trHeight w:val="343"/>
        </w:trPr>
        <w:tc>
          <w:tcPr>
            <w:tcW w:w="537" w:type="dxa"/>
            <w:noWrap/>
            <w:vAlign w:val="center"/>
            <w:hideMark/>
          </w:tcPr>
          <w:p w14:paraId="09343962"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w:t>
            </w:r>
          </w:p>
        </w:tc>
        <w:tc>
          <w:tcPr>
            <w:tcW w:w="717" w:type="dxa"/>
            <w:noWrap/>
            <w:vAlign w:val="center"/>
            <w:hideMark/>
          </w:tcPr>
          <w:p w14:paraId="338A2A66"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490.3</w:t>
            </w:r>
          </w:p>
        </w:tc>
        <w:tc>
          <w:tcPr>
            <w:tcW w:w="790" w:type="dxa"/>
            <w:noWrap/>
            <w:vAlign w:val="center"/>
            <w:hideMark/>
          </w:tcPr>
          <w:p w14:paraId="56895951"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0.010</w:t>
            </w:r>
          </w:p>
        </w:tc>
        <w:tc>
          <w:tcPr>
            <w:tcW w:w="888" w:type="dxa"/>
            <w:noWrap/>
            <w:vAlign w:val="center"/>
            <w:hideMark/>
          </w:tcPr>
          <w:p w14:paraId="6E345AD7"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3687.55</w:t>
            </w:r>
          </w:p>
        </w:tc>
        <w:tc>
          <w:tcPr>
            <w:tcW w:w="845" w:type="dxa"/>
            <w:noWrap/>
            <w:vAlign w:val="center"/>
            <w:hideMark/>
          </w:tcPr>
          <w:p w14:paraId="698DED87"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0.099</w:t>
            </w:r>
          </w:p>
        </w:tc>
        <w:tc>
          <w:tcPr>
            <w:tcW w:w="1152" w:type="dxa"/>
            <w:noWrap/>
            <w:vAlign w:val="center"/>
            <w:hideMark/>
          </w:tcPr>
          <w:p w14:paraId="04DE44F7"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0.64</w:t>
            </w:r>
          </w:p>
        </w:tc>
        <w:tc>
          <w:tcPr>
            <w:tcW w:w="836" w:type="dxa"/>
            <w:noWrap/>
            <w:vAlign w:val="center"/>
            <w:hideMark/>
          </w:tcPr>
          <w:p w14:paraId="5E0860F1" w14:textId="77777777" w:rsidR="005C4645" w:rsidRPr="00062A9C" w:rsidRDefault="005C4645" w:rsidP="0033329D">
            <w:pPr>
              <w:spacing w:before="240" w:line="240" w:lineRule="auto"/>
              <w:jc w:val="center"/>
              <w:rPr>
                <w:rFonts w:eastAsia="Times New Roman" w:cs="Arial"/>
                <w:color w:val="000000"/>
                <w:sz w:val="16"/>
                <w:szCs w:val="16"/>
              </w:rPr>
            </w:pPr>
            <w:r>
              <w:rPr>
                <w:rFonts w:eastAsia="Times New Roman" w:cs="Arial"/>
                <w:color w:val="000000"/>
                <w:sz w:val="16"/>
                <w:szCs w:val="16"/>
              </w:rPr>
              <w:t>0.05456</w:t>
            </w:r>
          </w:p>
        </w:tc>
        <w:tc>
          <w:tcPr>
            <w:tcW w:w="836" w:type="dxa"/>
            <w:noWrap/>
            <w:vAlign w:val="center"/>
            <w:hideMark/>
          </w:tcPr>
          <w:p w14:paraId="027BD3A6" w14:textId="77777777" w:rsidR="005C4645" w:rsidRPr="00062A9C" w:rsidRDefault="005C4645" w:rsidP="0033329D">
            <w:pPr>
              <w:spacing w:before="240" w:line="240" w:lineRule="auto"/>
              <w:jc w:val="center"/>
              <w:rPr>
                <w:rFonts w:eastAsia="Times New Roman" w:cs="Arial"/>
                <w:color w:val="000000"/>
                <w:sz w:val="16"/>
                <w:szCs w:val="16"/>
              </w:rPr>
            </w:pPr>
            <w:r>
              <w:rPr>
                <w:rFonts w:eastAsia="Times New Roman" w:cs="Arial"/>
                <w:color w:val="000000"/>
                <w:sz w:val="16"/>
                <w:szCs w:val="16"/>
              </w:rPr>
              <w:t>0.0013</w:t>
            </w:r>
          </w:p>
        </w:tc>
        <w:tc>
          <w:tcPr>
            <w:tcW w:w="915" w:type="dxa"/>
            <w:noWrap/>
            <w:vAlign w:val="center"/>
            <w:hideMark/>
          </w:tcPr>
          <w:p w14:paraId="63732F77"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1/3/2018</w:t>
            </w:r>
          </w:p>
        </w:tc>
        <w:tc>
          <w:tcPr>
            <w:tcW w:w="370" w:type="dxa"/>
            <w:noWrap/>
            <w:vAlign w:val="center"/>
            <w:hideMark/>
          </w:tcPr>
          <w:p w14:paraId="54F0CFDC"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995" w:type="dxa"/>
            <w:noWrap/>
            <w:vAlign w:val="center"/>
            <w:hideMark/>
          </w:tcPr>
          <w:p w14:paraId="3562FD6B"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43</w:t>
            </w:r>
          </w:p>
        </w:tc>
        <w:tc>
          <w:tcPr>
            <w:tcW w:w="985" w:type="dxa"/>
            <w:noWrap/>
            <w:vAlign w:val="center"/>
            <w:hideMark/>
          </w:tcPr>
          <w:p w14:paraId="31A0CB30"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1</w:t>
            </w:r>
          </w:p>
        </w:tc>
      </w:tr>
      <w:tr w:rsidR="005C4645" w:rsidRPr="00062A9C" w14:paraId="1BD13A70" w14:textId="77777777" w:rsidTr="0033329D">
        <w:trPr>
          <w:trHeight w:val="343"/>
        </w:trPr>
        <w:tc>
          <w:tcPr>
            <w:tcW w:w="537" w:type="dxa"/>
            <w:noWrap/>
            <w:vAlign w:val="center"/>
            <w:hideMark/>
          </w:tcPr>
          <w:p w14:paraId="0A56F78B"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w:t>
            </w:r>
          </w:p>
        </w:tc>
        <w:tc>
          <w:tcPr>
            <w:tcW w:w="717" w:type="dxa"/>
            <w:noWrap/>
            <w:vAlign w:val="center"/>
            <w:hideMark/>
          </w:tcPr>
          <w:p w14:paraId="456334BD"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483.4</w:t>
            </w:r>
          </w:p>
        </w:tc>
        <w:tc>
          <w:tcPr>
            <w:tcW w:w="790" w:type="dxa"/>
            <w:noWrap/>
            <w:vAlign w:val="center"/>
            <w:hideMark/>
          </w:tcPr>
          <w:p w14:paraId="09EB0035"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0.012</w:t>
            </w:r>
          </w:p>
        </w:tc>
        <w:tc>
          <w:tcPr>
            <w:tcW w:w="888" w:type="dxa"/>
            <w:noWrap/>
            <w:vAlign w:val="center"/>
            <w:hideMark/>
          </w:tcPr>
          <w:p w14:paraId="17739C44"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3671.39</w:t>
            </w:r>
          </w:p>
        </w:tc>
        <w:tc>
          <w:tcPr>
            <w:tcW w:w="845" w:type="dxa"/>
            <w:noWrap/>
            <w:vAlign w:val="center"/>
            <w:hideMark/>
          </w:tcPr>
          <w:p w14:paraId="493E9A38"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0.099</w:t>
            </w:r>
          </w:p>
        </w:tc>
        <w:tc>
          <w:tcPr>
            <w:tcW w:w="1152" w:type="dxa"/>
            <w:noWrap/>
            <w:vAlign w:val="center"/>
            <w:hideMark/>
          </w:tcPr>
          <w:p w14:paraId="01AF350F"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0.64</w:t>
            </w:r>
          </w:p>
        </w:tc>
        <w:tc>
          <w:tcPr>
            <w:tcW w:w="836" w:type="dxa"/>
            <w:noWrap/>
            <w:vAlign w:val="center"/>
            <w:hideMark/>
          </w:tcPr>
          <w:p w14:paraId="39932457" w14:textId="77777777" w:rsidR="005C4645" w:rsidRPr="00062A9C" w:rsidRDefault="005C4645" w:rsidP="0033329D">
            <w:pPr>
              <w:spacing w:before="240" w:line="240" w:lineRule="auto"/>
              <w:jc w:val="center"/>
              <w:rPr>
                <w:rFonts w:eastAsia="Times New Roman" w:cs="Arial"/>
                <w:color w:val="000000"/>
                <w:sz w:val="16"/>
                <w:szCs w:val="16"/>
              </w:rPr>
            </w:pPr>
            <w:r>
              <w:rPr>
                <w:rFonts w:eastAsia="Times New Roman" w:cs="Arial"/>
                <w:color w:val="000000"/>
                <w:sz w:val="16"/>
                <w:szCs w:val="16"/>
              </w:rPr>
              <w:t>0.05456</w:t>
            </w:r>
          </w:p>
        </w:tc>
        <w:tc>
          <w:tcPr>
            <w:tcW w:w="836" w:type="dxa"/>
            <w:noWrap/>
            <w:vAlign w:val="center"/>
            <w:hideMark/>
          </w:tcPr>
          <w:p w14:paraId="5CE5F7AC" w14:textId="77777777" w:rsidR="005C4645" w:rsidRPr="00062A9C" w:rsidRDefault="005C4645" w:rsidP="0033329D">
            <w:pPr>
              <w:spacing w:before="240" w:line="240" w:lineRule="auto"/>
              <w:jc w:val="center"/>
              <w:rPr>
                <w:rFonts w:eastAsia="Times New Roman" w:cs="Arial"/>
                <w:color w:val="000000"/>
                <w:sz w:val="16"/>
                <w:szCs w:val="16"/>
              </w:rPr>
            </w:pPr>
            <w:r>
              <w:rPr>
                <w:rFonts w:eastAsia="Times New Roman" w:cs="Arial"/>
                <w:color w:val="000000"/>
                <w:sz w:val="16"/>
                <w:szCs w:val="16"/>
              </w:rPr>
              <w:t>0.0013</w:t>
            </w:r>
          </w:p>
        </w:tc>
        <w:tc>
          <w:tcPr>
            <w:tcW w:w="915" w:type="dxa"/>
            <w:noWrap/>
            <w:vAlign w:val="center"/>
            <w:hideMark/>
          </w:tcPr>
          <w:p w14:paraId="7D5B58B3"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1/4/2018</w:t>
            </w:r>
          </w:p>
        </w:tc>
        <w:tc>
          <w:tcPr>
            <w:tcW w:w="370" w:type="dxa"/>
            <w:noWrap/>
            <w:vAlign w:val="center"/>
            <w:hideMark/>
          </w:tcPr>
          <w:p w14:paraId="3466B55A"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995" w:type="dxa"/>
            <w:noWrap/>
            <w:vAlign w:val="center"/>
            <w:hideMark/>
          </w:tcPr>
          <w:p w14:paraId="63480DF1"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43</w:t>
            </w:r>
          </w:p>
        </w:tc>
        <w:tc>
          <w:tcPr>
            <w:tcW w:w="985" w:type="dxa"/>
            <w:noWrap/>
            <w:vAlign w:val="center"/>
            <w:hideMark/>
          </w:tcPr>
          <w:p w14:paraId="5E4BC4FE"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1</w:t>
            </w:r>
          </w:p>
        </w:tc>
      </w:tr>
      <w:tr w:rsidR="005C4645" w:rsidRPr="00062A9C" w14:paraId="2D58A6E9" w14:textId="77777777" w:rsidTr="0033329D">
        <w:trPr>
          <w:trHeight w:val="343"/>
        </w:trPr>
        <w:tc>
          <w:tcPr>
            <w:tcW w:w="537" w:type="dxa"/>
            <w:noWrap/>
            <w:vAlign w:val="center"/>
          </w:tcPr>
          <w:p w14:paraId="44BB9F52"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717" w:type="dxa"/>
            <w:noWrap/>
            <w:vAlign w:val="center"/>
          </w:tcPr>
          <w:p w14:paraId="6CDBF550"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790" w:type="dxa"/>
            <w:noWrap/>
            <w:vAlign w:val="center"/>
          </w:tcPr>
          <w:p w14:paraId="4D5EE6D0"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888" w:type="dxa"/>
            <w:noWrap/>
            <w:vAlign w:val="center"/>
          </w:tcPr>
          <w:p w14:paraId="4CC99101"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845" w:type="dxa"/>
            <w:noWrap/>
            <w:vAlign w:val="center"/>
          </w:tcPr>
          <w:p w14:paraId="6BCCAC3A"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1152" w:type="dxa"/>
            <w:noWrap/>
            <w:vAlign w:val="center"/>
          </w:tcPr>
          <w:p w14:paraId="25F8173F"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836" w:type="dxa"/>
            <w:noWrap/>
            <w:vAlign w:val="center"/>
          </w:tcPr>
          <w:p w14:paraId="39A08E33"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836" w:type="dxa"/>
            <w:noWrap/>
            <w:vAlign w:val="center"/>
          </w:tcPr>
          <w:p w14:paraId="5F7C0AD9"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915" w:type="dxa"/>
            <w:noWrap/>
            <w:vAlign w:val="center"/>
          </w:tcPr>
          <w:p w14:paraId="34B91C3F"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370" w:type="dxa"/>
            <w:noWrap/>
            <w:vAlign w:val="center"/>
          </w:tcPr>
          <w:p w14:paraId="3C7D6891"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995" w:type="dxa"/>
            <w:noWrap/>
            <w:vAlign w:val="center"/>
          </w:tcPr>
          <w:p w14:paraId="322147B0"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985" w:type="dxa"/>
            <w:noWrap/>
            <w:vAlign w:val="center"/>
          </w:tcPr>
          <w:p w14:paraId="41C7E994"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r>
      <w:tr w:rsidR="005C4645" w:rsidRPr="00062A9C" w14:paraId="1A36F58C" w14:textId="77777777" w:rsidTr="0033329D">
        <w:trPr>
          <w:trHeight w:val="343"/>
        </w:trPr>
        <w:tc>
          <w:tcPr>
            <w:tcW w:w="537" w:type="dxa"/>
            <w:noWrap/>
            <w:vAlign w:val="center"/>
            <w:hideMark/>
          </w:tcPr>
          <w:p w14:paraId="3D0811CF"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4</w:t>
            </w:r>
          </w:p>
        </w:tc>
        <w:tc>
          <w:tcPr>
            <w:tcW w:w="717" w:type="dxa"/>
            <w:noWrap/>
            <w:vAlign w:val="center"/>
            <w:hideMark/>
          </w:tcPr>
          <w:p w14:paraId="79A011E1"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213.5</w:t>
            </w:r>
          </w:p>
        </w:tc>
        <w:tc>
          <w:tcPr>
            <w:tcW w:w="790" w:type="dxa"/>
            <w:noWrap/>
            <w:vAlign w:val="center"/>
            <w:hideMark/>
          </w:tcPr>
          <w:p w14:paraId="0CDAE338"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2561</w:t>
            </w:r>
          </w:p>
        </w:tc>
        <w:tc>
          <w:tcPr>
            <w:tcW w:w="888" w:type="dxa"/>
            <w:noWrap/>
            <w:vAlign w:val="center"/>
            <w:hideMark/>
          </w:tcPr>
          <w:p w14:paraId="444BA632"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3679.51</w:t>
            </w:r>
          </w:p>
        </w:tc>
        <w:tc>
          <w:tcPr>
            <w:tcW w:w="845" w:type="dxa"/>
            <w:noWrap/>
            <w:vAlign w:val="center"/>
            <w:hideMark/>
          </w:tcPr>
          <w:p w14:paraId="2533B79D"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0.066</w:t>
            </w:r>
          </w:p>
        </w:tc>
        <w:tc>
          <w:tcPr>
            <w:tcW w:w="1152" w:type="dxa"/>
            <w:noWrap/>
            <w:vAlign w:val="center"/>
            <w:hideMark/>
          </w:tcPr>
          <w:p w14:paraId="4C17C7A5"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0.18</w:t>
            </w:r>
          </w:p>
        </w:tc>
        <w:tc>
          <w:tcPr>
            <w:tcW w:w="836" w:type="dxa"/>
            <w:noWrap/>
            <w:vAlign w:val="center"/>
            <w:hideMark/>
          </w:tcPr>
          <w:p w14:paraId="4752D4F7" w14:textId="77777777" w:rsidR="005C4645" w:rsidRPr="00062A9C" w:rsidRDefault="005C4645" w:rsidP="0033329D">
            <w:pPr>
              <w:spacing w:before="240" w:line="240" w:lineRule="auto"/>
              <w:jc w:val="center"/>
              <w:rPr>
                <w:rFonts w:eastAsia="Times New Roman" w:cs="Arial"/>
                <w:color w:val="000000"/>
                <w:sz w:val="16"/>
                <w:szCs w:val="16"/>
              </w:rPr>
            </w:pPr>
            <w:r>
              <w:rPr>
                <w:rFonts w:cs="Arial"/>
                <w:color w:val="000000"/>
                <w:sz w:val="16"/>
                <w:szCs w:val="16"/>
              </w:rPr>
              <w:t>0.00510</w:t>
            </w:r>
          </w:p>
        </w:tc>
        <w:tc>
          <w:tcPr>
            <w:tcW w:w="836" w:type="dxa"/>
            <w:noWrap/>
            <w:vAlign w:val="center"/>
            <w:hideMark/>
          </w:tcPr>
          <w:p w14:paraId="4FC0E145" w14:textId="77777777" w:rsidR="005C4645" w:rsidRPr="00062A9C" w:rsidRDefault="005C4645" w:rsidP="0033329D">
            <w:pPr>
              <w:spacing w:before="240" w:line="240" w:lineRule="auto"/>
              <w:jc w:val="center"/>
              <w:rPr>
                <w:rFonts w:eastAsia="Times New Roman" w:cs="Arial"/>
                <w:color w:val="000000"/>
                <w:sz w:val="16"/>
                <w:szCs w:val="16"/>
              </w:rPr>
            </w:pPr>
            <w:r>
              <w:rPr>
                <w:rFonts w:eastAsia="Times New Roman" w:cs="Arial"/>
                <w:color w:val="000000"/>
                <w:sz w:val="16"/>
                <w:szCs w:val="16"/>
              </w:rPr>
              <w:t>0.0051</w:t>
            </w:r>
          </w:p>
        </w:tc>
        <w:tc>
          <w:tcPr>
            <w:tcW w:w="915" w:type="dxa"/>
            <w:noWrap/>
            <w:vAlign w:val="center"/>
            <w:hideMark/>
          </w:tcPr>
          <w:p w14:paraId="358EF03B" w14:textId="77777777" w:rsidR="005C4645" w:rsidRPr="00062A9C" w:rsidRDefault="007134A9" w:rsidP="0033329D">
            <w:pPr>
              <w:spacing w:before="240" w:line="240" w:lineRule="auto"/>
              <w:jc w:val="center"/>
              <w:rPr>
                <w:rFonts w:eastAsia="Times New Roman" w:cs="Arial"/>
                <w:color w:val="000000"/>
                <w:sz w:val="16"/>
                <w:szCs w:val="16"/>
              </w:rPr>
            </w:pPr>
            <w:r>
              <w:rPr>
                <w:rFonts w:cs="Arial"/>
                <w:color w:val="000000"/>
                <w:sz w:val="16"/>
                <w:szCs w:val="16"/>
              </w:rPr>
              <w:t>10/9/2020</w:t>
            </w:r>
          </w:p>
        </w:tc>
        <w:tc>
          <w:tcPr>
            <w:tcW w:w="370" w:type="dxa"/>
            <w:noWrap/>
            <w:vAlign w:val="center"/>
            <w:hideMark/>
          </w:tcPr>
          <w:p w14:paraId="47A2CAF2"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995" w:type="dxa"/>
            <w:noWrap/>
            <w:vAlign w:val="center"/>
            <w:hideMark/>
          </w:tcPr>
          <w:p w14:paraId="4B5072A4"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33</w:t>
            </w:r>
          </w:p>
        </w:tc>
        <w:tc>
          <w:tcPr>
            <w:tcW w:w="985" w:type="dxa"/>
            <w:noWrap/>
            <w:vAlign w:val="center"/>
            <w:hideMark/>
          </w:tcPr>
          <w:p w14:paraId="684AD76A"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1</w:t>
            </w:r>
          </w:p>
        </w:tc>
      </w:tr>
      <w:tr w:rsidR="005C4645" w:rsidRPr="00062A9C" w14:paraId="547F5D5F" w14:textId="77777777" w:rsidTr="0033329D">
        <w:trPr>
          <w:trHeight w:val="343"/>
        </w:trPr>
        <w:tc>
          <w:tcPr>
            <w:tcW w:w="537" w:type="dxa"/>
            <w:noWrap/>
            <w:vAlign w:val="center"/>
            <w:hideMark/>
          </w:tcPr>
          <w:p w14:paraId="4976AEE3"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4</w:t>
            </w:r>
          </w:p>
        </w:tc>
        <w:tc>
          <w:tcPr>
            <w:tcW w:w="717" w:type="dxa"/>
            <w:noWrap/>
            <w:vAlign w:val="center"/>
            <w:hideMark/>
          </w:tcPr>
          <w:p w14:paraId="692008B0"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213.2</w:t>
            </w:r>
          </w:p>
        </w:tc>
        <w:tc>
          <w:tcPr>
            <w:tcW w:w="790" w:type="dxa"/>
            <w:noWrap/>
            <w:vAlign w:val="center"/>
            <w:hideMark/>
          </w:tcPr>
          <w:p w14:paraId="0CFA3A0F"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2562</w:t>
            </w:r>
          </w:p>
        </w:tc>
        <w:tc>
          <w:tcPr>
            <w:tcW w:w="888" w:type="dxa"/>
            <w:noWrap/>
            <w:vAlign w:val="center"/>
            <w:hideMark/>
          </w:tcPr>
          <w:p w14:paraId="7691F70F"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3679.38</w:t>
            </w:r>
          </w:p>
        </w:tc>
        <w:tc>
          <w:tcPr>
            <w:tcW w:w="845" w:type="dxa"/>
            <w:noWrap/>
            <w:vAlign w:val="center"/>
            <w:hideMark/>
          </w:tcPr>
          <w:p w14:paraId="58C001B2"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0.066</w:t>
            </w:r>
          </w:p>
        </w:tc>
        <w:tc>
          <w:tcPr>
            <w:tcW w:w="1152" w:type="dxa"/>
            <w:noWrap/>
            <w:vAlign w:val="center"/>
            <w:hideMark/>
          </w:tcPr>
          <w:p w14:paraId="590DDE42"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0.17</w:t>
            </w:r>
          </w:p>
        </w:tc>
        <w:tc>
          <w:tcPr>
            <w:tcW w:w="836" w:type="dxa"/>
            <w:noWrap/>
            <w:vAlign w:val="center"/>
            <w:hideMark/>
          </w:tcPr>
          <w:p w14:paraId="04146698" w14:textId="77777777" w:rsidR="005C4645" w:rsidRPr="00062A9C" w:rsidRDefault="005C4645" w:rsidP="0033329D">
            <w:pPr>
              <w:spacing w:before="240" w:line="240" w:lineRule="auto"/>
              <w:jc w:val="center"/>
              <w:rPr>
                <w:rFonts w:eastAsia="Times New Roman" w:cs="Arial"/>
                <w:color w:val="000000"/>
                <w:sz w:val="16"/>
                <w:szCs w:val="16"/>
              </w:rPr>
            </w:pPr>
            <w:r>
              <w:rPr>
                <w:rFonts w:cs="Arial"/>
                <w:color w:val="000000"/>
                <w:sz w:val="16"/>
                <w:szCs w:val="16"/>
              </w:rPr>
              <w:t>0.00510</w:t>
            </w:r>
          </w:p>
        </w:tc>
        <w:tc>
          <w:tcPr>
            <w:tcW w:w="836" w:type="dxa"/>
            <w:noWrap/>
            <w:vAlign w:val="center"/>
            <w:hideMark/>
          </w:tcPr>
          <w:p w14:paraId="1DB075D1" w14:textId="77777777" w:rsidR="005C4645" w:rsidRPr="00062A9C" w:rsidRDefault="005C4645" w:rsidP="0033329D">
            <w:pPr>
              <w:spacing w:before="240" w:line="240" w:lineRule="auto"/>
              <w:jc w:val="center"/>
              <w:rPr>
                <w:rFonts w:eastAsia="Times New Roman" w:cs="Arial"/>
                <w:color w:val="000000"/>
                <w:sz w:val="16"/>
                <w:szCs w:val="16"/>
              </w:rPr>
            </w:pPr>
            <w:r>
              <w:rPr>
                <w:rFonts w:eastAsia="Times New Roman" w:cs="Arial"/>
                <w:color w:val="000000"/>
                <w:sz w:val="16"/>
                <w:szCs w:val="16"/>
              </w:rPr>
              <w:t>0.0051</w:t>
            </w:r>
          </w:p>
        </w:tc>
        <w:tc>
          <w:tcPr>
            <w:tcW w:w="915" w:type="dxa"/>
            <w:noWrap/>
            <w:vAlign w:val="center"/>
            <w:hideMark/>
          </w:tcPr>
          <w:p w14:paraId="15A486EE" w14:textId="77777777" w:rsidR="005C4645" w:rsidRPr="00062A9C" w:rsidRDefault="009758D1" w:rsidP="0033329D">
            <w:pPr>
              <w:spacing w:before="240" w:line="240" w:lineRule="auto"/>
              <w:jc w:val="center"/>
              <w:rPr>
                <w:rFonts w:eastAsia="Times New Roman" w:cs="Arial"/>
                <w:color w:val="000000"/>
                <w:sz w:val="16"/>
                <w:szCs w:val="16"/>
              </w:rPr>
            </w:pPr>
            <w:r>
              <w:rPr>
                <w:rFonts w:cs="Arial"/>
                <w:color w:val="000000"/>
                <w:sz w:val="16"/>
                <w:szCs w:val="16"/>
              </w:rPr>
              <w:t>10/1</w:t>
            </w:r>
            <w:r w:rsidR="007134A9">
              <w:rPr>
                <w:rFonts w:cs="Arial"/>
                <w:color w:val="000000"/>
                <w:sz w:val="16"/>
                <w:szCs w:val="16"/>
              </w:rPr>
              <w:t>0</w:t>
            </w:r>
            <w:r>
              <w:rPr>
                <w:rFonts w:cs="Arial"/>
                <w:color w:val="000000"/>
                <w:sz w:val="16"/>
                <w:szCs w:val="16"/>
              </w:rPr>
              <w:t>/2020</w:t>
            </w:r>
          </w:p>
        </w:tc>
        <w:tc>
          <w:tcPr>
            <w:tcW w:w="370" w:type="dxa"/>
            <w:noWrap/>
            <w:vAlign w:val="center"/>
            <w:hideMark/>
          </w:tcPr>
          <w:p w14:paraId="63D90E2F"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995" w:type="dxa"/>
            <w:noWrap/>
            <w:vAlign w:val="center"/>
            <w:hideMark/>
          </w:tcPr>
          <w:p w14:paraId="190203FB"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33</w:t>
            </w:r>
          </w:p>
        </w:tc>
        <w:tc>
          <w:tcPr>
            <w:tcW w:w="985" w:type="dxa"/>
            <w:noWrap/>
            <w:vAlign w:val="center"/>
            <w:hideMark/>
          </w:tcPr>
          <w:p w14:paraId="7D5F8507"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1</w:t>
            </w:r>
          </w:p>
        </w:tc>
      </w:tr>
      <w:tr w:rsidR="005C4645" w:rsidRPr="00062A9C" w14:paraId="52260C76" w14:textId="77777777" w:rsidTr="0033329D">
        <w:trPr>
          <w:trHeight w:val="343"/>
        </w:trPr>
        <w:tc>
          <w:tcPr>
            <w:tcW w:w="537" w:type="dxa"/>
            <w:noWrap/>
            <w:vAlign w:val="center"/>
            <w:hideMark/>
          </w:tcPr>
          <w:p w14:paraId="352DDADB"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4</w:t>
            </w:r>
          </w:p>
        </w:tc>
        <w:tc>
          <w:tcPr>
            <w:tcW w:w="717" w:type="dxa"/>
            <w:noWrap/>
            <w:vAlign w:val="center"/>
            <w:hideMark/>
          </w:tcPr>
          <w:p w14:paraId="3B31D921"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212.9</w:t>
            </w:r>
          </w:p>
        </w:tc>
        <w:tc>
          <w:tcPr>
            <w:tcW w:w="790" w:type="dxa"/>
            <w:noWrap/>
            <w:vAlign w:val="center"/>
            <w:hideMark/>
          </w:tcPr>
          <w:p w14:paraId="02638B1A"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2563</w:t>
            </w:r>
          </w:p>
        </w:tc>
        <w:tc>
          <w:tcPr>
            <w:tcW w:w="888" w:type="dxa"/>
            <w:noWrap/>
            <w:vAlign w:val="center"/>
            <w:hideMark/>
          </w:tcPr>
          <w:p w14:paraId="3FDC1C31"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3679.25</w:t>
            </w:r>
          </w:p>
        </w:tc>
        <w:tc>
          <w:tcPr>
            <w:tcW w:w="845" w:type="dxa"/>
            <w:noWrap/>
            <w:vAlign w:val="center"/>
            <w:hideMark/>
          </w:tcPr>
          <w:p w14:paraId="7A326309"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0.066</w:t>
            </w:r>
          </w:p>
        </w:tc>
        <w:tc>
          <w:tcPr>
            <w:tcW w:w="1152" w:type="dxa"/>
            <w:noWrap/>
            <w:vAlign w:val="center"/>
            <w:hideMark/>
          </w:tcPr>
          <w:p w14:paraId="7A0E3BF0"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0.17</w:t>
            </w:r>
          </w:p>
        </w:tc>
        <w:tc>
          <w:tcPr>
            <w:tcW w:w="836" w:type="dxa"/>
            <w:noWrap/>
            <w:vAlign w:val="center"/>
            <w:hideMark/>
          </w:tcPr>
          <w:p w14:paraId="0F1E6724" w14:textId="77777777" w:rsidR="005C4645" w:rsidRPr="00062A9C" w:rsidRDefault="005C4645" w:rsidP="0033329D">
            <w:pPr>
              <w:spacing w:before="240" w:line="240" w:lineRule="auto"/>
              <w:jc w:val="center"/>
              <w:rPr>
                <w:rFonts w:eastAsia="Times New Roman" w:cs="Arial"/>
                <w:color w:val="000000"/>
                <w:sz w:val="16"/>
                <w:szCs w:val="16"/>
              </w:rPr>
            </w:pPr>
            <w:r>
              <w:rPr>
                <w:rFonts w:cs="Arial"/>
                <w:color w:val="000000"/>
                <w:sz w:val="16"/>
                <w:szCs w:val="16"/>
              </w:rPr>
              <w:t>0.00510</w:t>
            </w:r>
          </w:p>
        </w:tc>
        <w:tc>
          <w:tcPr>
            <w:tcW w:w="836" w:type="dxa"/>
            <w:noWrap/>
            <w:vAlign w:val="center"/>
            <w:hideMark/>
          </w:tcPr>
          <w:p w14:paraId="1C679AC9" w14:textId="77777777" w:rsidR="005C4645" w:rsidRPr="00062A9C" w:rsidRDefault="005C4645" w:rsidP="0033329D">
            <w:pPr>
              <w:spacing w:before="240" w:line="240" w:lineRule="auto"/>
              <w:jc w:val="center"/>
              <w:rPr>
                <w:rFonts w:eastAsia="Times New Roman" w:cs="Arial"/>
                <w:color w:val="000000"/>
                <w:sz w:val="16"/>
                <w:szCs w:val="16"/>
              </w:rPr>
            </w:pPr>
            <w:r>
              <w:rPr>
                <w:rFonts w:eastAsia="Times New Roman" w:cs="Arial"/>
                <w:color w:val="000000"/>
                <w:sz w:val="16"/>
                <w:szCs w:val="16"/>
              </w:rPr>
              <w:t>0.0051</w:t>
            </w:r>
          </w:p>
        </w:tc>
        <w:tc>
          <w:tcPr>
            <w:tcW w:w="915" w:type="dxa"/>
            <w:noWrap/>
            <w:vAlign w:val="center"/>
            <w:hideMark/>
          </w:tcPr>
          <w:p w14:paraId="4DA9C82B" w14:textId="77777777" w:rsidR="005C4645" w:rsidRPr="00062A9C" w:rsidRDefault="009758D1" w:rsidP="0033329D">
            <w:pPr>
              <w:spacing w:before="240" w:line="240" w:lineRule="auto"/>
              <w:jc w:val="center"/>
              <w:rPr>
                <w:rFonts w:eastAsia="Times New Roman" w:cs="Arial"/>
                <w:color w:val="000000"/>
                <w:sz w:val="16"/>
                <w:szCs w:val="16"/>
              </w:rPr>
            </w:pPr>
            <w:r>
              <w:rPr>
                <w:rFonts w:cs="Arial"/>
                <w:color w:val="000000"/>
                <w:sz w:val="16"/>
                <w:szCs w:val="16"/>
              </w:rPr>
              <w:t>10/11/2020</w:t>
            </w:r>
          </w:p>
        </w:tc>
        <w:tc>
          <w:tcPr>
            <w:tcW w:w="370" w:type="dxa"/>
            <w:noWrap/>
            <w:vAlign w:val="center"/>
            <w:hideMark/>
          </w:tcPr>
          <w:p w14:paraId="0570E77A"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eastAsia="Times New Roman" w:cs="Arial"/>
                <w:color w:val="000000"/>
                <w:sz w:val="16"/>
                <w:szCs w:val="16"/>
              </w:rPr>
              <w:t>…</w:t>
            </w:r>
          </w:p>
        </w:tc>
        <w:tc>
          <w:tcPr>
            <w:tcW w:w="995" w:type="dxa"/>
            <w:noWrap/>
            <w:vAlign w:val="center"/>
            <w:hideMark/>
          </w:tcPr>
          <w:p w14:paraId="576CDC3B"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33</w:t>
            </w:r>
          </w:p>
        </w:tc>
        <w:tc>
          <w:tcPr>
            <w:tcW w:w="985" w:type="dxa"/>
            <w:noWrap/>
            <w:vAlign w:val="center"/>
            <w:hideMark/>
          </w:tcPr>
          <w:p w14:paraId="0649A405" w14:textId="77777777" w:rsidR="005C4645" w:rsidRPr="00062A9C" w:rsidRDefault="005C4645" w:rsidP="0033329D">
            <w:pPr>
              <w:spacing w:before="240" w:line="240" w:lineRule="auto"/>
              <w:jc w:val="center"/>
              <w:rPr>
                <w:rFonts w:eastAsia="Times New Roman" w:cs="Arial"/>
                <w:color w:val="000000"/>
                <w:sz w:val="16"/>
                <w:szCs w:val="16"/>
              </w:rPr>
            </w:pPr>
            <w:r w:rsidRPr="00062A9C">
              <w:rPr>
                <w:rFonts w:cs="Arial"/>
                <w:color w:val="000000"/>
                <w:sz w:val="16"/>
                <w:szCs w:val="16"/>
              </w:rPr>
              <w:t>1</w:t>
            </w:r>
          </w:p>
        </w:tc>
      </w:tr>
    </w:tbl>
    <w:p w14:paraId="18B8F0FF" w14:textId="3048DCA5" w:rsidR="005C4645" w:rsidRDefault="005C4645" w:rsidP="003D0579">
      <w:pPr>
        <w:pStyle w:val="Caption"/>
      </w:pPr>
      <w:bookmarkStart w:id="17" w:name="_Ref127200383"/>
      <w:r>
        <w:t xml:space="preserve">Table </w:t>
      </w:r>
      <w:fldSimple w:instr=" SEQ Table \* ARABIC ">
        <w:r w:rsidR="00B11BFB">
          <w:rPr>
            <w:noProof/>
          </w:rPr>
          <w:t>1</w:t>
        </w:r>
      </w:fldSimple>
      <w:bookmarkEnd w:id="17"/>
      <w:r w:rsidR="00B0419B">
        <w:rPr>
          <w:noProof/>
        </w:rPr>
        <w:t>.-</w:t>
      </w:r>
      <w:r>
        <w:rPr>
          <w:noProof/>
        </w:rPr>
        <w:t xml:space="preserve"> </w:t>
      </w:r>
      <w:r w:rsidRPr="00CB6FC8">
        <w:rPr>
          <w:noProof/>
        </w:rPr>
        <w:t xml:space="preserve">Truncated example of the dataset. We include a mixture of </w:t>
      </w:r>
      <w:r w:rsidR="00115F38">
        <w:rPr>
          <w:noProof/>
        </w:rPr>
        <w:t>static</w:t>
      </w:r>
      <w:r>
        <w:rPr>
          <w:noProof/>
        </w:rPr>
        <w:t xml:space="preserve">, </w:t>
      </w:r>
      <w:r w:rsidR="00115F38">
        <w:rPr>
          <w:noProof/>
        </w:rPr>
        <w:t>dynamic</w:t>
      </w:r>
      <w:r w:rsidR="00115F38" w:rsidRPr="00CB6FC8">
        <w:rPr>
          <w:noProof/>
        </w:rPr>
        <w:t xml:space="preserve"> </w:t>
      </w:r>
      <w:r>
        <w:rPr>
          <w:noProof/>
        </w:rPr>
        <w:t xml:space="preserve">and engineered </w:t>
      </w:r>
      <w:r w:rsidR="00E37E9A">
        <w:rPr>
          <w:noProof/>
        </w:rPr>
        <w:t xml:space="preserve">predictor </w:t>
      </w:r>
      <w:r>
        <w:rPr>
          <w:noProof/>
        </w:rPr>
        <w:t>features</w:t>
      </w:r>
      <w:r w:rsidRPr="00CB6FC8">
        <w:rPr>
          <w:noProof/>
        </w:rPr>
        <w:t>.</w:t>
      </w:r>
    </w:p>
    <w:p w14:paraId="0A023038" w14:textId="77777777" w:rsidR="00AD0A95" w:rsidRPr="00062A9C" w:rsidRDefault="00AD0A95" w:rsidP="003D0579">
      <w:pPr>
        <w:pStyle w:val="Caption"/>
      </w:pPr>
      <w:r w:rsidRPr="00062A9C">
        <w:br w:type="page"/>
      </w:r>
    </w:p>
    <w:p w14:paraId="1100960F" w14:textId="2EF655B2" w:rsidR="009E5517" w:rsidRDefault="005B64DB" w:rsidP="00AD0A95">
      <w:pPr>
        <w:pStyle w:val="Heading2"/>
      </w:pPr>
      <w:r>
        <w:lastRenderedPageBreak/>
        <w:t xml:space="preserve">Results </w:t>
      </w:r>
      <w:r w:rsidR="00AD0A95">
        <w:t xml:space="preserve">on </w:t>
      </w:r>
      <w:r w:rsidR="00D54353">
        <w:t xml:space="preserve">the </w:t>
      </w:r>
      <w:r w:rsidR="00AD0A95">
        <w:t xml:space="preserve">optimum encoder and </w:t>
      </w:r>
      <w:r w:rsidR="00D54353">
        <w:t xml:space="preserve">decoder </w:t>
      </w:r>
      <w:r w:rsidR="00AD0A95">
        <w:t>prediction length</w:t>
      </w:r>
    </w:p>
    <w:p w14:paraId="5E897C63" w14:textId="48EEE162" w:rsidR="00324E9E" w:rsidRDefault="00252DE9" w:rsidP="00324E9E">
      <w:r>
        <w:t xml:space="preserve">Using the datasets from scenarios </w:t>
      </w:r>
      <w:r w:rsidR="00436077">
        <w:t>A</w:t>
      </w:r>
      <w:r>
        <w:t xml:space="preserve">, </w:t>
      </w:r>
      <w:r w:rsidR="00436077">
        <w:t>B</w:t>
      </w:r>
      <w:r>
        <w:t xml:space="preserve">, and </w:t>
      </w:r>
      <w:r w:rsidR="00436077">
        <w:t>C</w:t>
      </w:r>
      <w:r>
        <w:t>, w</w:t>
      </w:r>
      <w:r w:rsidRPr="00062A9C">
        <w:t>e perform a grid search to determine the optimum encoder length (</w:t>
      </w:r>
      <w:r w:rsidR="00436077">
        <w:t xml:space="preserve">training time window, </w:t>
      </w:r>
      <w:r w:rsidRPr="00062A9C">
        <w:t>look</w:t>
      </w:r>
      <w:r>
        <w:t>-</w:t>
      </w:r>
      <w:r w:rsidRPr="00062A9C">
        <w:t>back periods) and</w:t>
      </w:r>
      <w:r w:rsidR="00D54353">
        <w:t xml:space="preserve"> decoder</w:t>
      </w:r>
      <w:r w:rsidRPr="00062A9C">
        <w:t xml:space="preserve"> prediction length (</w:t>
      </w:r>
      <w:r w:rsidR="00436077">
        <w:t xml:space="preserve">testing time window, </w:t>
      </w:r>
      <w:r w:rsidRPr="00062A9C">
        <w:t xml:space="preserve">forecast periods). </w:t>
      </w:r>
      <w:r>
        <w:t>W</w:t>
      </w:r>
      <w:r w:rsidR="00324E9E">
        <w:t>e follow the following algorithm:</w:t>
      </w:r>
    </w:p>
    <w:p w14:paraId="5B75D1FB" w14:textId="77777777" w:rsidR="00324E9E" w:rsidRPr="00062A9C" w:rsidRDefault="00324E9E" w:rsidP="00324E9E">
      <w:r w:rsidRPr="00F11FA4">
        <w:rPr>
          <w:bCs/>
        </w:rPr>
        <w:t>Input</w:t>
      </w:r>
      <w:r w:rsidRPr="00062A9C">
        <w:t xml:space="preserve">: </w:t>
      </w:r>
      <w:r>
        <w:rPr>
          <w:rFonts w:eastAsiaTheme="minorEastAsia"/>
        </w:rPr>
        <w:t>Time-dependent predictor features</w:t>
      </w:r>
      <w:r w:rsidR="009402FC">
        <w:t>,</w:t>
      </w:r>
      <w:r w:rsidRPr="00062A9C">
        <w:t xml:space="preserve"> static </w:t>
      </w:r>
      <w:r>
        <w:t>features</w:t>
      </w:r>
      <w:r w:rsidR="00D54353">
        <w:t>,</w:t>
      </w:r>
      <w:r>
        <w:t xml:space="preserve"> </w:t>
      </w:r>
      <w:r w:rsidR="009402FC">
        <w:t>and response features</w:t>
      </w:r>
    </w:p>
    <w:p w14:paraId="5205793A" w14:textId="77777777" w:rsidR="00324E9E" w:rsidRPr="00062A9C" w:rsidRDefault="00324E9E" w:rsidP="00324E9E">
      <w:r w:rsidRPr="00F11FA4">
        <w:rPr>
          <w:bCs/>
        </w:rPr>
        <w:t>Output</w:t>
      </w:r>
      <w:r w:rsidRPr="00062A9C">
        <w:t xml:space="preserve">: </w:t>
      </w:r>
      <w:r w:rsidR="00E062C9">
        <w:t>Optimum encoder and</w:t>
      </w:r>
      <w:r w:rsidR="00352FDF">
        <w:t xml:space="preserve"> decoder</w:t>
      </w:r>
      <w:r w:rsidR="00E062C9">
        <w:t xml:space="preserve"> prediction length</w:t>
      </w:r>
    </w:p>
    <w:p w14:paraId="37088741" w14:textId="6DDB99B5" w:rsidR="00324E9E" w:rsidRDefault="000D21A6" w:rsidP="00324E9E">
      <w:pPr>
        <w:pStyle w:val="ListParagraph"/>
        <w:numPr>
          <w:ilvl w:val="0"/>
          <w:numId w:val="8"/>
        </w:numPr>
      </w:pPr>
      <w:r>
        <w:t xml:space="preserve">Using the datasets from Scenarios </w:t>
      </w:r>
      <w:r w:rsidR="00933C34">
        <w:t>A</w:t>
      </w:r>
      <w:r>
        <w:t xml:space="preserve">, </w:t>
      </w:r>
      <w:r w:rsidR="00933C34">
        <w:t>B</w:t>
      </w:r>
      <w:r w:rsidR="00D54353">
        <w:t>,</w:t>
      </w:r>
      <w:r>
        <w:t xml:space="preserve"> and </w:t>
      </w:r>
      <w:r w:rsidR="00933C34">
        <w:t>C</w:t>
      </w:r>
      <w:r w:rsidR="00D54353">
        <w:t>,</w:t>
      </w:r>
      <w:r w:rsidR="007D3311">
        <w:t xml:space="preserve"> separate the dataset between training and testing. We use the last 180 days of </w:t>
      </w:r>
      <w:r w:rsidR="00E1527B">
        <w:t xml:space="preserve">oil rate </w:t>
      </w:r>
      <w:r w:rsidR="006F2FA2">
        <w:t xml:space="preserve">production history </w:t>
      </w:r>
      <w:r w:rsidR="005F3388">
        <w:t xml:space="preserve">for </w:t>
      </w:r>
      <w:r w:rsidR="006F2FA2">
        <w:t>testing</w:t>
      </w:r>
      <w:r w:rsidR="00234B81">
        <w:t>.</w:t>
      </w:r>
    </w:p>
    <w:p w14:paraId="5D3992A4" w14:textId="77777777" w:rsidR="005510F2" w:rsidRPr="00062A9C" w:rsidRDefault="005510F2" w:rsidP="00324E9E">
      <w:pPr>
        <w:pStyle w:val="ListParagraph"/>
        <w:numPr>
          <w:ilvl w:val="0"/>
          <w:numId w:val="8"/>
        </w:numPr>
      </w:pPr>
      <w:r w:rsidRPr="00EF0B60">
        <w:rPr>
          <w:bCs/>
        </w:rPr>
        <w:t>For</w:t>
      </w:r>
      <w:r>
        <w:t xml:space="preserve"> every</w:t>
      </w:r>
      <w:r w:rsidR="00A12E52">
        <w:t xml:space="preserve"> </w:t>
      </w:r>
      <w:r w:rsidR="00997955">
        <w:t>e</w:t>
      </w:r>
      <w:r w:rsidR="00A12E52">
        <w:t xml:space="preserve">ncoder length and </w:t>
      </w:r>
      <w:r w:rsidR="00997955">
        <w:t xml:space="preserve">decoder </w:t>
      </w:r>
      <w:r w:rsidR="00A12E52">
        <w:t xml:space="preserve">prediction length </w:t>
      </w:r>
      <w:r w:rsidR="00342364">
        <w:t>combination</w:t>
      </w:r>
    </w:p>
    <w:p w14:paraId="04BB891B" w14:textId="77777777" w:rsidR="00324E9E" w:rsidRPr="00062A9C" w:rsidRDefault="00324E9E" w:rsidP="005510F2">
      <w:pPr>
        <w:pStyle w:val="ListParagraph"/>
        <w:numPr>
          <w:ilvl w:val="1"/>
          <w:numId w:val="8"/>
        </w:numPr>
      </w:pPr>
      <w:r>
        <w:t>Perform hyperparameter importance to select the hyperparameters to tune.</w:t>
      </w:r>
    </w:p>
    <w:p w14:paraId="29877706" w14:textId="77777777" w:rsidR="00324E9E" w:rsidRDefault="00324E9E" w:rsidP="005510F2">
      <w:pPr>
        <w:pStyle w:val="ListParagraph"/>
        <w:numPr>
          <w:ilvl w:val="2"/>
          <w:numId w:val="8"/>
        </w:numPr>
      </w:pPr>
      <w:r w:rsidRPr="00062A9C">
        <w:t xml:space="preserve">For </w:t>
      </w:r>
      <m:oMath>
        <m:r>
          <w:rPr>
            <w:rFonts w:ascii="Cambria Math" w:hAnsi="Cambria Math"/>
          </w:rPr>
          <m:t>m</m:t>
        </m:r>
      </m:oMath>
      <w:r w:rsidRPr="00062A9C">
        <w:t xml:space="preserve"> combination of hyperparameters</w:t>
      </w:r>
      <w:r>
        <w:t>:</w:t>
      </w:r>
    </w:p>
    <w:p w14:paraId="4CEDED15" w14:textId="77777777" w:rsidR="00324E9E" w:rsidRDefault="00324E9E" w:rsidP="005510F2">
      <w:pPr>
        <w:pStyle w:val="ListParagraph"/>
        <w:numPr>
          <w:ilvl w:val="3"/>
          <w:numId w:val="8"/>
        </w:numPr>
      </w:pPr>
      <w:r w:rsidRPr="00062A9C">
        <w:t>Perform model training with selected hyperparameters.</w:t>
      </w:r>
    </w:p>
    <w:p w14:paraId="5EAD188B" w14:textId="77777777" w:rsidR="003E076E" w:rsidRPr="00062A9C" w:rsidRDefault="003E076E" w:rsidP="00923991">
      <w:pPr>
        <w:pStyle w:val="ListParagraph"/>
        <w:numPr>
          <w:ilvl w:val="4"/>
          <w:numId w:val="8"/>
        </w:numPr>
      </w:pPr>
      <w:r>
        <w:t>S</w:t>
      </w:r>
      <w:r w:rsidRPr="00062A9C">
        <w:t xml:space="preserve">cale the </w:t>
      </w:r>
      <w:r>
        <w:t>predictor</w:t>
      </w:r>
      <w:r w:rsidRPr="00062A9C">
        <w:t xml:space="preserve"> </w:t>
      </w:r>
      <w:r>
        <w:t>features</w:t>
      </w:r>
      <w:r w:rsidRPr="00062A9C">
        <w:t xml:space="preserve"> dynamically during training.</w:t>
      </w:r>
    </w:p>
    <w:p w14:paraId="31936523" w14:textId="77777777" w:rsidR="00324E9E" w:rsidRDefault="00324E9E" w:rsidP="005510F2">
      <w:pPr>
        <w:pStyle w:val="ListParagraph"/>
        <w:numPr>
          <w:ilvl w:val="3"/>
          <w:numId w:val="8"/>
        </w:numPr>
      </w:pPr>
      <w:r>
        <w:t xml:space="preserve">Select the combination of hyperparameters that minimize the </w:t>
      </w:r>
      <w:r w:rsidR="00EC17A1">
        <w:t>quantile loss function</w:t>
      </w:r>
      <w:r>
        <w:t>.</w:t>
      </w:r>
    </w:p>
    <w:p w14:paraId="7E9BC4FB" w14:textId="77777777" w:rsidR="00560682" w:rsidRDefault="00560682" w:rsidP="005510F2">
      <w:pPr>
        <w:pStyle w:val="ListParagraph"/>
        <w:numPr>
          <w:ilvl w:val="2"/>
          <w:numId w:val="8"/>
        </w:numPr>
      </w:pPr>
      <w:r w:rsidRPr="00EF0B60">
        <w:rPr>
          <w:bCs/>
        </w:rPr>
        <w:t>Return</w:t>
      </w:r>
      <w:r w:rsidR="00A22D10">
        <w:t xml:space="preserve"> </w:t>
      </w:r>
      <m:oMath>
        <m:r>
          <w:rPr>
            <w:rFonts w:ascii="Cambria Math" w:hAnsi="Cambria Math"/>
          </w:rPr>
          <m:t>m</m:t>
        </m:r>
      </m:oMath>
      <w:r>
        <w:t xml:space="preserve"> </w:t>
      </w:r>
      <w:r w:rsidR="004545A9">
        <w:t xml:space="preserve">combination of </w:t>
      </w:r>
      <w:proofErr w:type="gramStart"/>
      <w:r w:rsidR="001335ED">
        <w:t>hyperparameters</w:t>
      </w:r>
      <w:proofErr w:type="gramEnd"/>
    </w:p>
    <w:p w14:paraId="38E0C626" w14:textId="77777777" w:rsidR="00324E9E" w:rsidRDefault="00324E9E" w:rsidP="005510F2">
      <w:pPr>
        <w:pStyle w:val="ListParagraph"/>
        <w:numPr>
          <w:ilvl w:val="1"/>
          <w:numId w:val="8"/>
        </w:numPr>
      </w:pPr>
      <w:r>
        <w:t xml:space="preserve">Perform model training using the </w:t>
      </w:r>
      <w:r w:rsidR="008D36E8">
        <w:t xml:space="preserve">combination </w:t>
      </w:r>
      <w:r w:rsidR="002C621C">
        <w:t xml:space="preserve">of </w:t>
      </w:r>
      <w:proofErr w:type="gramStart"/>
      <w:r w:rsidR="004B66CC">
        <w:t>hyperparameters</w:t>
      </w:r>
      <w:proofErr w:type="gramEnd"/>
    </w:p>
    <w:p w14:paraId="221E681D" w14:textId="77777777" w:rsidR="00923991" w:rsidRDefault="00923991" w:rsidP="00923991">
      <w:pPr>
        <w:pStyle w:val="ListParagraph"/>
        <w:numPr>
          <w:ilvl w:val="2"/>
          <w:numId w:val="8"/>
        </w:numPr>
      </w:pPr>
      <w:r>
        <w:t>S</w:t>
      </w:r>
      <w:r w:rsidRPr="00062A9C">
        <w:t xml:space="preserve">cale the </w:t>
      </w:r>
      <w:r>
        <w:t>predictor</w:t>
      </w:r>
      <w:r w:rsidRPr="00062A9C">
        <w:t xml:space="preserve"> </w:t>
      </w:r>
      <w:r>
        <w:t>features</w:t>
      </w:r>
      <w:r w:rsidRPr="00062A9C">
        <w:t xml:space="preserve"> dynamically during training.</w:t>
      </w:r>
    </w:p>
    <w:p w14:paraId="038CDEE1" w14:textId="77777777" w:rsidR="002B7844" w:rsidRDefault="002B7844" w:rsidP="002B7844">
      <w:pPr>
        <w:pStyle w:val="ListParagraph"/>
        <w:numPr>
          <w:ilvl w:val="1"/>
          <w:numId w:val="8"/>
        </w:numPr>
      </w:pPr>
      <w:r>
        <w:t xml:space="preserve">Perform model testing </w:t>
      </w:r>
      <w:r w:rsidR="002E0000">
        <w:t xml:space="preserve">and return the average MAE for the </w:t>
      </w:r>
      <w:r w:rsidR="00236C3F">
        <w:t>encoder and decoder prediction length combination</w:t>
      </w:r>
      <w:r w:rsidR="002E0000">
        <w:t>.</w:t>
      </w:r>
    </w:p>
    <w:p w14:paraId="4E4F1602" w14:textId="6D6BDAE6" w:rsidR="00324E9E" w:rsidRDefault="00324E9E" w:rsidP="00F11FA4">
      <w:pPr>
        <w:tabs>
          <w:tab w:val="left" w:pos="6430"/>
        </w:tabs>
      </w:pPr>
      <w:r w:rsidRPr="00EF0B60">
        <w:lastRenderedPageBreak/>
        <w:t>Return</w:t>
      </w:r>
      <w:r w:rsidRPr="00062A9C">
        <w:t xml:space="preserve"> </w:t>
      </w:r>
      <w:r w:rsidR="00F0412B">
        <w:t>Optimum encoder and decoder prediction length</w:t>
      </w:r>
      <w:r w:rsidR="002B053A">
        <w:t>.</w:t>
      </w:r>
    </w:p>
    <w:p w14:paraId="4B0C3460" w14:textId="77777777" w:rsidR="00D26C52" w:rsidRPr="00062A9C" w:rsidRDefault="00D26C52" w:rsidP="00324E9E">
      <w:r w:rsidRPr="00062A9C">
        <w:t xml:space="preserve">For encoder length, we evaluate from 10 to 210 </w:t>
      </w:r>
      <w:r>
        <w:t xml:space="preserve">days </w:t>
      </w:r>
      <w:r w:rsidRPr="00062A9C">
        <w:t>in steps of 10, and for</w:t>
      </w:r>
      <w:r w:rsidR="00C6167F">
        <w:t xml:space="preserve"> decoder</w:t>
      </w:r>
      <w:r w:rsidRPr="00062A9C">
        <w:t xml:space="preserve"> prediction length, we evaluate from 2 to 42 </w:t>
      </w:r>
      <w:r>
        <w:t xml:space="preserve">days </w:t>
      </w:r>
      <w:r w:rsidRPr="00062A9C">
        <w:t xml:space="preserve">in steps of 2. We evaluate </w:t>
      </w:r>
      <m:oMath>
        <m:r>
          <w:rPr>
            <w:rFonts w:ascii="Cambria Math" w:hAnsi="Cambria Math"/>
          </w:rPr>
          <m:t>3×400</m:t>
        </m:r>
      </m:oMath>
      <w:r>
        <w:rPr>
          <w:rFonts w:eastAsiaTheme="minorEastAsia"/>
        </w:rPr>
        <w:t xml:space="preserve"> </w:t>
      </w:r>
      <w:r w:rsidRPr="00062A9C">
        <w:t xml:space="preserve">models to determine the encoder and </w:t>
      </w:r>
      <w:r w:rsidR="00A83979">
        <w:t>decoder prediction length</w:t>
      </w:r>
      <w:r w:rsidRPr="00062A9C">
        <w:t>s that minimize the error metric</w:t>
      </w:r>
      <w:r>
        <w:t xml:space="preserve"> in equation </w:t>
      </w:r>
      <w:r>
        <w:fldChar w:fldCharType="begin"/>
      </w:r>
      <w:r>
        <w:instrText xml:space="preserve"> REF _Ref127201994 \h </w:instrText>
      </w:r>
      <w:r>
        <w:fldChar w:fldCharType="separate"/>
      </w:r>
      <w:r w:rsidR="00B11BFB">
        <w:rPr>
          <w:noProof/>
        </w:rPr>
        <w:t>10</w:t>
      </w:r>
      <w:r>
        <w:fldChar w:fldCharType="end"/>
      </w:r>
      <w:r w:rsidRPr="00062A9C">
        <w:t xml:space="preserve">. </w:t>
      </w:r>
      <w:r>
        <w:t>Figure 7 shows</w:t>
      </w:r>
      <w:r w:rsidRPr="00062A9C">
        <w:t xml:space="preserve"> the search space colored by the</w:t>
      </w:r>
      <w:r>
        <w:t xml:space="preserve"> average</w:t>
      </w:r>
      <w:r w:rsidRPr="00062A9C">
        <w:t xml:space="preserve"> MAE metric</w:t>
      </w:r>
      <w:r>
        <w:t xml:space="preserve">. </w:t>
      </w:r>
      <w:r w:rsidRPr="00062A9C">
        <w:t xml:space="preserve">We observe low-error </w:t>
      </w:r>
      <w:r>
        <w:t>forecast</w:t>
      </w:r>
      <w:r w:rsidRPr="00062A9C">
        <w:t xml:space="preserve">s in models with small </w:t>
      </w:r>
      <w:r w:rsidR="00A83979">
        <w:t>decoder prediction length</w:t>
      </w:r>
      <w:r w:rsidRPr="00062A9C">
        <w:t xml:space="preserve">s. However, these models are not </w:t>
      </w:r>
      <w:r>
        <w:t>help</w:t>
      </w:r>
      <w:r w:rsidRPr="00062A9C">
        <w:t xml:space="preserve">ful as the </w:t>
      </w:r>
      <w:r>
        <w:t>forecast</w:t>
      </w:r>
      <w:r w:rsidRPr="00062A9C">
        <w:t xml:space="preserve"> window</w:t>
      </w:r>
      <w:r w:rsidR="00D2453A">
        <w:t xml:space="preserve"> (decoder prediction length)</w:t>
      </w:r>
      <w:r w:rsidRPr="00062A9C">
        <w:t xml:space="preserve"> is too small. We would opt for models with long </w:t>
      </w:r>
      <w:r w:rsidR="00045EFA">
        <w:t xml:space="preserve">forecast windows </w:t>
      </w:r>
      <w:r>
        <w:t>and small encoder lengths</w:t>
      </w:r>
      <w:r w:rsidRPr="00062A9C">
        <w:t xml:space="preserve"> with the lowest MAE.</w:t>
      </w:r>
    </w:p>
    <w:p w14:paraId="2E422510" w14:textId="77777777" w:rsidR="00324E9E" w:rsidRDefault="00324E9E" w:rsidP="00324E9E">
      <w:pPr>
        <w:keepNext/>
      </w:pPr>
      <w:r w:rsidRPr="00062A9C">
        <w:rPr>
          <w:noProof/>
        </w:rPr>
        <w:drawing>
          <wp:inline distT="0" distB="0" distL="0" distR="0" wp14:anchorId="674E36F1" wp14:editId="3E9EAE31">
            <wp:extent cx="5932805" cy="3274695"/>
            <wp:effectExtent l="0" t="0" r="0" b="1905"/>
            <wp:docPr id="14" name="Picture 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3274695"/>
                    </a:xfrm>
                    <a:prstGeom prst="rect">
                      <a:avLst/>
                    </a:prstGeom>
                    <a:noFill/>
                    <a:ln>
                      <a:noFill/>
                    </a:ln>
                  </pic:spPr>
                </pic:pic>
              </a:graphicData>
            </a:graphic>
          </wp:inline>
        </w:drawing>
      </w:r>
    </w:p>
    <w:p w14:paraId="3A9496A7" w14:textId="75333FEC" w:rsidR="00324E9E" w:rsidRDefault="00324E9E" w:rsidP="003D0579">
      <w:pPr>
        <w:pStyle w:val="Caption"/>
        <w:rPr>
          <w:noProof/>
        </w:rPr>
      </w:pPr>
      <w:bookmarkStart w:id="18" w:name="_Ref127201753"/>
      <w:r>
        <w:t xml:space="preserve">Figure </w:t>
      </w:r>
      <w:fldSimple w:instr=" SEQ Figure \* ARABIC ">
        <w:r w:rsidR="00B11BFB">
          <w:rPr>
            <w:noProof/>
          </w:rPr>
          <w:t>7</w:t>
        </w:r>
      </w:fldSimple>
      <w:bookmarkEnd w:id="18"/>
      <w:r w:rsidR="006F234B">
        <w:t>.-</w:t>
      </w:r>
      <w:r>
        <w:t xml:space="preserve"> </w:t>
      </w:r>
      <w:r w:rsidRPr="00C33302">
        <w:rPr>
          <w:noProof/>
        </w:rPr>
        <w:t xml:space="preserve">Search space colored by the mean absolute error. We select the encoding length and </w:t>
      </w:r>
      <w:r w:rsidR="00A83979">
        <w:rPr>
          <w:noProof/>
        </w:rPr>
        <w:t>decoder prediction length</w:t>
      </w:r>
      <w:r w:rsidRPr="00C33302">
        <w:rPr>
          <w:noProof/>
        </w:rPr>
        <w:t xml:space="preserve"> that minimizes the MAE metric.</w:t>
      </w:r>
    </w:p>
    <w:p w14:paraId="71645537" w14:textId="6DC1D2D8" w:rsidR="004F07CD" w:rsidRDefault="006E2BB5" w:rsidP="006E2BB5">
      <w:pPr>
        <w:pStyle w:val="Heading2"/>
      </w:pPr>
      <w:r>
        <w:lastRenderedPageBreak/>
        <w:t xml:space="preserve">Evaluation of </w:t>
      </w:r>
      <w:r w:rsidR="00170D38">
        <w:t>scenario A</w:t>
      </w:r>
    </w:p>
    <w:p w14:paraId="312602F0" w14:textId="51B9BBAA" w:rsidR="004404F1" w:rsidRDefault="002D5D0E" w:rsidP="004404F1">
      <w:r>
        <w:t xml:space="preserve">Using the dataset </w:t>
      </w:r>
      <w:r w:rsidR="00DF570D">
        <w:t xml:space="preserve">from </w:t>
      </w:r>
      <w:r w:rsidR="00170D38">
        <w:t>scenario A</w:t>
      </w:r>
      <w:r w:rsidR="0078084C">
        <w:t>,</w:t>
      </w:r>
      <w:r w:rsidR="006B39E5">
        <w:t xml:space="preserve"> w</w:t>
      </w:r>
      <w:r w:rsidR="004404F1">
        <w:t xml:space="preserve">e evaluate the performance of our proposed location predictor features in equations </w:t>
      </w:r>
      <w:r w:rsidR="004404F1">
        <w:fldChar w:fldCharType="begin"/>
      </w:r>
      <w:r w:rsidR="004404F1">
        <w:instrText xml:space="preserve"> REF _Ref127201956 \h </w:instrText>
      </w:r>
      <w:r w:rsidR="004404F1">
        <w:fldChar w:fldCharType="separate"/>
      </w:r>
      <w:r w:rsidR="00B11BFB">
        <w:rPr>
          <w:noProof/>
        </w:rPr>
        <w:t>8</w:t>
      </w:r>
      <w:r w:rsidR="004404F1">
        <w:fldChar w:fldCharType="end"/>
      </w:r>
      <w:r w:rsidR="004404F1">
        <w:t xml:space="preserve"> and </w:t>
      </w:r>
      <w:r w:rsidR="004404F1">
        <w:fldChar w:fldCharType="begin"/>
      </w:r>
      <w:r w:rsidR="004404F1">
        <w:instrText xml:space="preserve"> REF _Ref127201987 \h </w:instrText>
      </w:r>
      <w:r w:rsidR="004404F1">
        <w:fldChar w:fldCharType="separate"/>
      </w:r>
      <w:r w:rsidR="00B11BFB">
        <w:rPr>
          <w:noProof/>
        </w:rPr>
        <w:t>9</w:t>
      </w:r>
      <w:r w:rsidR="004404F1">
        <w:fldChar w:fldCharType="end"/>
      </w:r>
      <w:r w:rsidR="004404F1">
        <w:t xml:space="preserve">. We train </w:t>
      </w:r>
      <w:r w:rsidR="00EF0B60">
        <w:t>models A1 and A2</w:t>
      </w:r>
      <w:r w:rsidR="004404F1">
        <w:t xml:space="preserve"> following the proposed workflow in the methodology section and use the MAE and SMAPE </w:t>
      </w:r>
      <w:r w:rsidR="00AE7468">
        <w:t>metrics</w:t>
      </w:r>
      <w:r w:rsidR="004404F1" w:rsidRPr="00062A9C">
        <w:t xml:space="preserve"> in equations 2 and 3 as error metrics to evaluate the </w:t>
      </w:r>
      <w:r w:rsidR="004404F1">
        <w:t>model performance on testing data.</w:t>
      </w:r>
      <w:r w:rsidR="008D299A">
        <w:t xml:space="preserve"> </w:t>
      </w:r>
      <w:r w:rsidR="003E23B1">
        <w:t>W</w:t>
      </w:r>
      <w:r w:rsidR="003E23B1" w:rsidRPr="00062A9C">
        <w:t xml:space="preserve">e use the last 180 days from the </w:t>
      </w:r>
      <w:r w:rsidR="003E23B1">
        <w:t>production history as testing data and the rest of the history as training data.</w:t>
      </w:r>
      <w:r w:rsidR="004404F1">
        <w:t xml:space="preserve"> Model </w:t>
      </w:r>
      <w:r w:rsidR="0058385E">
        <w:t>A</w:t>
      </w:r>
      <w:r w:rsidR="004404F1">
        <w:t xml:space="preserve">1 uses the location predictor features, and Model </w:t>
      </w:r>
      <w:r w:rsidR="0058385E">
        <w:t>A</w:t>
      </w:r>
      <w:r w:rsidR="004404F1">
        <w:t xml:space="preserve">2 does not include the location predictor features. </w:t>
      </w:r>
      <w:r w:rsidR="004404F1">
        <w:fldChar w:fldCharType="begin"/>
      </w:r>
      <w:r w:rsidR="004404F1">
        <w:instrText xml:space="preserve"> REF _Ref129026814 \h </w:instrText>
      </w:r>
      <w:r w:rsidR="004404F1">
        <w:fldChar w:fldCharType="separate"/>
      </w:r>
      <w:r w:rsidR="00B11BFB">
        <w:t xml:space="preserve">Figure </w:t>
      </w:r>
      <w:r w:rsidR="00B11BFB">
        <w:rPr>
          <w:noProof/>
        </w:rPr>
        <w:t>8</w:t>
      </w:r>
      <w:r w:rsidR="004404F1">
        <w:fldChar w:fldCharType="end"/>
      </w:r>
      <w:r w:rsidR="004404F1">
        <w:t xml:space="preserve"> summarizes the error distributions for Models </w:t>
      </w:r>
      <w:r w:rsidR="0058385E">
        <w:t>A</w:t>
      </w:r>
      <w:r w:rsidR="004404F1">
        <w:t xml:space="preserve">1 and </w:t>
      </w:r>
      <w:r w:rsidR="0058385E">
        <w:t>A</w:t>
      </w:r>
      <w:r w:rsidR="004404F1">
        <w:t>2</w:t>
      </w:r>
      <w:r w:rsidR="0088569B">
        <w:t xml:space="preserve"> based on the MAE and SMAPE metrics</w:t>
      </w:r>
      <w:r w:rsidR="004404F1">
        <w:t xml:space="preserve">. We observe that using the proposed predictor features in equations </w:t>
      </w:r>
      <w:r w:rsidR="004404F1">
        <w:fldChar w:fldCharType="begin"/>
      </w:r>
      <w:r w:rsidR="004404F1">
        <w:instrText xml:space="preserve"> REF _Ref127201956 \h </w:instrText>
      </w:r>
      <w:r w:rsidR="004404F1">
        <w:fldChar w:fldCharType="separate"/>
      </w:r>
      <w:r w:rsidR="00B11BFB">
        <w:rPr>
          <w:noProof/>
        </w:rPr>
        <w:t>8</w:t>
      </w:r>
      <w:r w:rsidR="004404F1">
        <w:fldChar w:fldCharType="end"/>
      </w:r>
      <w:r w:rsidR="004404F1">
        <w:t xml:space="preserve"> and </w:t>
      </w:r>
      <w:r w:rsidR="004404F1">
        <w:fldChar w:fldCharType="begin"/>
      </w:r>
      <w:r w:rsidR="004404F1">
        <w:instrText xml:space="preserve"> REF _Ref127201987 \h </w:instrText>
      </w:r>
      <w:r w:rsidR="004404F1">
        <w:fldChar w:fldCharType="separate"/>
      </w:r>
      <w:r w:rsidR="00B11BFB">
        <w:rPr>
          <w:noProof/>
        </w:rPr>
        <w:t>9</w:t>
      </w:r>
      <w:r w:rsidR="004404F1">
        <w:fldChar w:fldCharType="end"/>
      </w:r>
      <w:r w:rsidR="004404F1">
        <w:t xml:space="preserve"> improves the generalization ability of the TFT-based surrogate flow model.</w:t>
      </w:r>
      <w:r w:rsidR="00A86370">
        <w:t xml:space="preserve"> </w:t>
      </w:r>
      <w:r w:rsidR="00C6700F">
        <w:fldChar w:fldCharType="begin"/>
      </w:r>
      <w:r w:rsidR="00C6700F">
        <w:instrText xml:space="preserve"> REF _Ref127202024 \h </w:instrText>
      </w:r>
      <w:r w:rsidR="00C6700F">
        <w:fldChar w:fldCharType="separate"/>
      </w:r>
      <w:r w:rsidR="00B11BFB">
        <w:t xml:space="preserve">Table </w:t>
      </w:r>
      <w:r w:rsidR="00B11BFB">
        <w:rPr>
          <w:noProof/>
        </w:rPr>
        <w:t>2</w:t>
      </w:r>
      <w:r w:rsidR="00C6700F">
        <w:fldChar w:fldCharType="end"/>
      </w:r>
      <w:r w:rsidR="00C6700F" w:rsidRPr="00062A9C">
        <w:t xml:space="preserve"> summarizes the hyperparameters selected for the TFT-based surrogate flow model</w:t>
      </w:r>
      <w:r w:rsidR="00C6700F">
        <w:t xml:space="preserve"> used for </w:t>
      </w:r>
      <w:r w:rsidR="00170D38">
        <w:t>scenario A</w:t>
      </w:r>
      <w:r w:rsidR="00C6700F">
        <w:t xml:space="preserve">. </w:t>
      </w:r>
    </w:p>
    <w:p w14:paraId="1A4B70A8" w14:textId="7F8C587D" w:rsidR="004404F1" w:rsidRDefault="0024724D" w:rsidP="004404F1">
      <w:pPr>
        <w:keepNext/>
      </w:pPr>
      <w:r>
        <w:rPr>
          <w:noProof/>
        </w:rPr>
        <w:drawing>
          <wp:inline distT="0" distB="0" distL="0" distR="0" wp14:anchorId="0E15BFE7" wp14:editId="6C89DA65">
            <wp:extent cx="5943600" cy="28492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p>
    <w:p w14:paraId="5B2D8ABC" w14:textId="372B92CD" w:rsidR="004404F1" w:rsidRDefault="004404F1" w:rsidP="003D0579">
      <w:pPr>
        <w:pStyle w:val="Caption"/>
        <w:rPr>
          <w:noProof/>
        </w:rPr>
      </w:pPr>
      <w:bookmarkStart w:id="19" w:name="_Ref129026814"/>
      <w:r>
        <w:t xml:space="preserve">Figure </w:t>
      </w:r>
      <w:fldSimple w:instr=" SEQ Figure \* ARABIC ">
        <w:r w:rsidR="00B11BFB">
          <w:rPr>
            <w:noProof/>
          </w:rPr>
          <w:t>8</w:t>
        </w:r>
      </w:fldSimple>
      <w:bookmarkEnd w:id="19"/>
      <w:r w:rsidR="00CF41B3">
        <w:t>.-</w:t>
      </w:r>
      <w:r>
        <w:t xml:space="preserve"> </w:t>
      </w:r>
      <w:r>
        <w:rPr>
          <w:noProof/>
        </w:rPr>
        <w:t>Error distribution over the testing dataset using our proposed predictor features (red) and not using our proposed predictor features (blue). In a) we show the distribution of SMAPE</w:t>
      </w:r>
      <w:r w:rsidR="00CA3E8B">
        <w:rPr>
          <w:noProof/>
        </w:rPr>
        <w:t>,</w:t>
      </w:r>
      <w:r>
        <w:rPr>
          <w:noProof/>
        </w:rPr>
        <w:t xml:space="preserve"> </w:t>
      </w:r>
      <w:r>
        <w:rPr>
          <w:noProof/>
        </w:rPr>
        <w:lastRenderedPageBreak/>
        <w:t>while b) shows the distribution of the MAE.</w:t>
      </w:r>
    </w:p>
    <w:p w14:paraId="7D3046DA" w14:textId="5BE7C54D" w:rsidR="00327360" w:rsidRDefault="00327360" w:rsidP="003D0579">
      <w:pPr>
        <w:pStyle w:val="Caption"/>
      </w:pPr>
      <w:bookmarkStart w:id="20" w:name="_Ref127202024"/>
      <w:r>
        <w:t xml:space="preserve">Table </w:t>
      </w:r>
      <w:fldSimple w:instr=" SEQ Table \* ARABIC ">
        <w:r w:rsidR="00B11BFB">
          <w:rPr>
            <w:noProof/>
          </w:rPr>
          <w:t>2</w:t>
        </w:r>
      </w:fldSimple>
      <w:bookmarkEnd w:id="20"/>
      <w:r w:rsidR="00B26891">
        <w:t>.-</w:t>
      </w:r>
      <w:r>
        <w:rPr>
          <w:noProof/>
        </w:rPr>
        <w:t xml:space="preserve"> </w:t>
      </w:r>
      <w:r w:rsidRPr="0023367D">
        <w:rPr>
          <w:noProof/>
        </w:rPr>
        <w:t>Hyperparameters used for the TFT-based surrogate flow model</w:t>
      </w:r>
      <w:r>
        <w:rPr>
          <w:noProof/>
        </w:rPr>
        <w:t xml:space="preserve"> for </w:t>
      </w:r>
      <w:r w:rsidR="00170D38">
        <w:rPr>
          <w:noProof/>
        </w:rPr>
        <w:t>scenario A</w:t>
      </w:r>
      <w:r w:rsidR="00E029E7">
        <w:rPr>
          <w:noProof/>
        </w:rPr>
        <w:t>.</w:t>
      </w:r>
    </w:p>
    <w:tbl>
      <w:tblPr>
        <w:tblStyle w:val="TableGrid"/>
        <w:tblW w:w="0" w:type="auto"/>
        <w:tblLook w:val="04A0" w:firstRow="1" w:lastRow="0" w:firstColumn="1" w:lastColumn="0" w:noHBand="0" w:noVBand="1"/>
      </w:tblPr>
      <w:tblGrid>
        <w:gridCol w:w="4675"/>
        <w:gridCol w:w="4675"/>
      </w:tblGrid>
      <w:tr w:rsidR="00327360" w:rsidRPr="00062A9C" w14:paraId="688ACF6A" w14:textId="77777777" w:rsidTr="0033329D">
        <w:tc>
          <w:tcPr>
            <w:tcW w:w="4675" w:type="dxa"/>
          </w:tcPr>
          <w:p w14:paraId="401B235D" w14:textId="77777777" w:rsidR="00327360" w:rsidRPr="008C473C" w:rsidRDefault="00327360" w:rsidP="0033329D">
            <w:pPr>
              <w:pStyle w:val="Figures"/>
              <w:rPr>
                <w:b/>
                <w:bCs/>
              </w:rPr>
            </w:pPr>
            <w:r w:rsidRPr="008C473C">
              <w:rPr>
                <w:b/>
                <w:bCs/>
              </w:rPr>
              <w:t>Hyperparameter</w:t>
            </w:r>
          </w:p>
        </w:tc>
        <w:tc>
          <w:tcPr>
            <w:tcW w:w="4675" w:type="dxa"/>
          </w:tcPr>
          <w:p w14:paraId="6C287E86" w14:textId="77777777" w:rsidR="00327360" w:rsidRPr="008C473C" w:rsidRDefault="00327360" w:rsidP="0033329D">
            <w:pPr>
              <w:pStyle w:val="Figures"/>
              <w:rPr>
                <w:b/>
                <w:bCs/>
              </w:rPr>
            </w:pPr>
            <w:r w:rsidRPr="008C473C">
              <w:rPr>
                <w:b/>
                <w:bCs/>
              </w:rPr>
              <w:t>Value</w:t>
            </w:r>
          </w:p>
        </w:tc>
      </w:tr>
      <w:tr w:rsidR="00327360" w:rsidRPr="00062A9C" w14:paraId="401AF6C6" w14:textId="77777777" w:rsidTr="0033329D">
        <w:tc>
          <w:tcPr>
            <w:tcW w:w="4675" w:type="dxa"/>
          </w:tcPr>
          <w:p w14:paraId="304415B6" w14:textId="77777777" w:rsidR="00327360" w:rsidRPr="00062A9C" w:rsidRDefault="00327360" w:rsidP="0033329D">
            <w:pPr>
              <w:pStyle w:val="Figures"/>
            </w:pPr>
            <w:proofErr w:type="spellStart"/>
            <w:r w:rsidRPr="00062A9C">
              <w:t>gradient_clip_val</w:t>
            </w:r>
            <w:proofErr w:type="spellEnd"/>
          </w:p>
        </w:tc>
        <w:tc>
          <w:tcPr>
            <w:tcW w:w="4675" w:type="dxa"/>
          </w:tcPr>
          <w:p w14:paraId="3F01B8CA" w14:textId="77777777" w:rsidR="00327360" w:rsidRPr="00062A9C" w:rsidRDefault="00327360" w:rsidP="0033329D">
            <w:pPr>
              <w:pStyle w:val="Figures"/>
            </w:pPr>
            <w:r w:rsidRPr="00062A9C">
              <w:t>0.9939</w:t>
            </w:r>
          </w:p>
        </w:tc>
      </w:tr>
      <w:tr w:rsidR="00327360" w:rsidRPr="00062A9C" w14:paraId="0409B680" w14:textId="77777777" w:rsidTr="0033329D">
        <w:tc>
          <w:tcPr>
            <w:tcW w:w="4675" w:type="dxa"/>
          </w:tcPr>
          <w:p w14:paraId="6579D827" w14:textId="77777777" w:rsidR="00327360" w:rsidRPr="00062A9C" w:rsidRDefault="00327360" w:rsidP="0033329D">
            <w:pPr>
              <w:pStyle w:val="Figures"/>
            </w:pPr>
            <w:proofErr w:type="spellStart"/>
            <w:r w:rsidRPr="00062A9C">
              <w:t>hidden_size</w:t>
            </w:r>
            <w:proofErr w:type="spellEnd"/>
          </w:p>
        </w:tc>
        <w:tc>
          <w:tcPr>
            <w:tcW w:w="4675" w:type="dxa"/>
          </w:tcPr>
          <w:p w14:paraId="0E664249" w14:textId="77777777" w:rsidR="00327360" w:rsidRPr="00062A9C" w:rsidRDefault="00327360" w:rsidP="0033329D">
            <w:pPr>
              <w:pStyle w:val="Figures"/>
            </w:pPr>
            <w:r w:rsidRPr="00062A9C">
              <w:t>90</w:t>
            </w:r>
          </w:p>
        </w:tc>
      </w:tr>
      <w:tr w:rsidR="00327360" w:rsidRPr="00062A9C" w14:paraId="5173FBE2" w14:textId="77777777" w:rsidTr="0033329D">
        <w:tc>
          <w:tcPr>
            <w:tcW w:w="4675" w:type="dxa"/>
          </w:tcPr>
          <w:p w14:paraId="03AB0706" w14:textId="77777777" w:rsidR="00327360" w:rsidRPr="00062A9C" w:rsidRDefault="00436077" w:rsidP="0033329D">
            <w:pPr>
              <w:pStyle w:val="Figures"/>
            </w:pPr>
            <w:r w:rsidRPr="00062A9C">
              <w:t>D</w:t>
            </w:r>
            <w:r w:rsidR="00327360" w:rsidRPr="00062A9C">
              <w:t>ropout</w:t>
            </w:r>
          </w:p>
        </w:tc>
        <w:tc>
          <w:tcPr>
            <w:tcW w:w="4675" w:type="dxa"/>
          </w:tcPr>
          <w:p w14:paraId="53391F56" w14:textId="77777777" w:rsidR="00327360" w:rsidRPr="00062A9C" w:rsidRDefault="00327360" w:rsidP="0033329D">
            <w:pPr>
              <w:pStyle w:val="Figures"/>
            </w:pPr>
            <w:r w:rsidRPr="00062A9C">
              <w:t>0.178735</w:t>
            </w:r>
          </w:p>
        </w:tc>
      </w:tr>
      <w:tr w:rsidR="00327360" w:rsidRPr="00062A9C" w14:paraId="621F18A7" w14:textId="77777777" w:rsidTr="0033329D">
        <w:tc>
          <w:tcPr>
            <w:tcW w:w="4675" w:type="dxa"/>
          </w:tcPr>
          <w:p w14:paraId="6992FE8A" w14:textId="77777777" w:rsidR="00327360" w:rsidRPr="00062A9C" w:rsidRDefault="00327360" w:rsidP="0033329D">
            <w:pPr>
              <w:pStyle w:val="Figures"/>
            </w:pPr>
            <w:proofErr w:type="spellStart"/>
            <w:r w:rsidRPr="00062A9C">
              <w:t>hidden_continuous_size</w:t>
            </w:r>
            <w:proofErr w:type="spellEnd"/>
          </w:p>
        </w:tc>
        <w:tc>
          <w:tcPr>
            <w:tcW w:w="4675" w:type="dxa"/>
          </w:tcPr>
          <w:p w14:paraId="473BF47C" w14:textId="77777777" w:rsidR="00327360" w:rsidRPr="00062A9C" w:rsidRDefault="00327360" w:rsidP="0033329D">
            <w:pPr>
              <w:pStyle w:val="Figures"/>
            </w:pPr>
            <w:r w:rsidRPr="00062A9C">
              <w:t>65</w:t>
            </w:r>
          </w:p>
        </w:tc>
      </w:tr>
      <w:tr w:rsidR="00327360" w:rsidRPr="00062A9C" w14:paraId="3A9711A6" w14:textId="77777777" w:rsidTr="0033329D">
        <w:tc>
          <w:tcPr>
            <w:tcW w:w="4675" w:type="dxa"/>
          </w:tcPr>
          <w:p w14:paraId="5E01B62D" w14:textId="77777777" w:rsidR="00327360" w:rsidRPr="00062A9C" w:rsidRDefault="00327360" w:rsidP="0033329D">
            <w:pPr>
              <w:pStyle w:val="Figures"/>
            </w:pPr>
            <w:proofErr w:type="spellStart"/>
            <w:r w:rsidRPr="00062A9C">
              <w:t>attention_head_size</w:t>
            </w:r>
            <w:proofErr w:type="spellEnd"/>
          </w:p>
        </w:tc>
        <w:tc>
          <w:tcPr>
            <w:tcW w:w="4675" w:type="dxa"/>
          </w:tcPr>
          <w:p w14:paraId="02B6D1B0" w14:textId="77777777" w:rsidR="00327360" w:rsidRPr="00062A9C" w:rsidRDefault="00327360" w:rsidP="0033329D">
            <w:pPr>
              <w:pStyle w:val="Figures"/>
            </w:pPr>
            <w:r w:rsidRPr="00062A9C">
              <w:t>2</w:t>
            </w:r>
          </w:p>
        </w:tc>
      </w:tr>
      <w:tr w:rsidR="00327360" w:rsidRPr="00062A9C" w14:paraId="3CD3949B" w14:textId="77777777" w:rsidTr="0033329D">
        <w:tc>
          <w:tcPr>
            <w:tcW w:w="4675" w:type="dxa"/>
          </w:tcPr>
          <w:p w14:paraId="508CD670" w14:textId="77777777" w:rsidR="00327360" w:rsidRPr="00062A9C" w:rsidRDefault="00327360" w:rsidP="0033329D">
            <w:pPr>
              <w:pStyle w:val="Figures"/>
            </w:pPr>
            <w:proofErr w:type="spellStart"/>
            <w:r w:rsidRPr="00062A9C">
              <w:t>learning_rate</w:t>
            </w:r>
            <w:proofErr w:type="spellEnd"/>
          </w:p>
        </w:tc>
        <w:tc>
          <w:tcPr>
            <w:tcW w:w="4675" w:type="dxa"/>
          </w:tcPr>
          <w:p w14:paraId="460B5BF5" w14:textId="77777777" w:rsidR="00327360" w:rsidRPr="00062A9C" w:rsidRDefault="00327360" w:rsidP="0033329D">
            <w:pPr>
              <w:pStyle w:val="Figures"/>
            </w:pPr>
            <w:r w:rsidRPr="00062A9C">
              <w:t>0.01366059</w:t>
            </w:r>
          </w:p>
        </w:tc>
      </w:tr>
      <w:tr w:rsidR="00327360" w:rsidRPr="00062A9C" w14:paraId="4B811C67" w14:textId="77777777" w:rsidTr="0033329D">
        <w:tc>
          <w:tcPr>
            <w:tcW w:w="4675" w:type="dxa"/>
          </w:tcPr>
          <w:p w14:paraId="1BF8C68B" w14:textId="77777777" w:rsidR="00327360" w:rsidRPr="00062A9C" w:rsidRDefault="00436077" w:rsidP="0033329D">
            <w:pPr>
              <w:pStyle w:val="Figures"/>
            </w:pPr>
            <w:r w:rsidRPr="00062A9C">
              <w:t>E</w:t>
            </w:r>
            <w:r w:rsidR="00327360" w:rsidRPr="00062A9C">
              <w:t>pochs</w:t>
            </w:r>
          </w:p>
        </w:tc>
        <w:tc>
          <w:tcPr>
            <w:tcW w:w="4675" w:type="dxa"/>
          </w:tcPr>
          <w:p w14:paraId="31E579DF" w14:textId="77777777" w:rsidR="00327360" w:rsidRPr="00062A9C" w:rsidRDefault="00327360" w:rsidP="0033329D">
            <w:pPr>
              <w:pStyle w:val="Figures"/>
            </w:pPr>
            <w:r w:rsidRPr="00062A9C">
              <w:t>100</w:t>
            </w:r>
          </w:p>
        </w:tc>
      </w:tr>
    </w:tbl>
    <w:p w14:paraId="332B84B1" w14:textId="77777777" w:rsidR="00327360" w:rsidRPr="00327360" w:rsidRDefault="00327360" w:rsidP="00327360"/>
    <w:p w14:paraId="278E5C02" w14:textId="1EBF1C1E" w:rsidR="004404F1" w:rsidRPr="00062A9C" w:rsidRDefault="004404F1" w:rsidP="004404F1">
      <w:r>
        <w:t xml:space="preserve">Using model </w:t>
      </w:r>
      <w:r w:rsidR="0058385E">
        <w:t>A</w:t>
      </w:r>
      <w:r>
        <w:t>1</w:t>
      </w:r>
      <w:r w:rsidR="00407C08">
        <w:t>,</w:t>
      </w:r>
      <w:r>
        <w:t xml:space="preserve"> we construct </w:t>
      </w:r>
      <w:r>
        <w:fldChar w:fldCharType="begin"/>
      </w:r>
      <w:r>
        <w:instrText xml:space="preserve"> REF _Ref127201766 \h </w:instrText>
      </w:r>
      <w:r>
        <w:fldChar w:fldCharType="separate"/>
      </w:r>
      <w:r w:rsidR="00B11BFB">
        <w:t xml:space="preserve">Figure </w:t>
      </w:r>
      <w:r w:rsidR="00B11BFB">
        <w:rPr>
          <w:noProof/>
        </w:rPr>
        <w:t>9</w:t>
      </w:r>
      <w:r>
        <w:fldChar w:fldCharType="end"/>
      </w:r>
      <w:r>
        <w:t>, which</w:t>
      </w:r>
      <w:r w:rsidRPr="00062A9C">
        <w:t xml:space="preserve"> shows a histogram with the testing performance results, and </w:t>
      </w:r>
      <w:r>
        <w:fldChar w:fldCharType="begin"/>
      </w:r>
      <w:r>
        <w:instrText xml:space="preserve"> REF _Ref127201774 \h </w:instrText>
      </w:r>
      <w:r>
        <w:fldChar w:fldCharType="separate"/>
      </w:r>
      <w:r w:rsidR="00B11BFB">
        <w:t xml:space="preserve">Figure </w:t>
      </w:r>
      <w:r w:rsidR="00B11BFB">
        <w:rPr>
          <w:noProof/>
        </w:rPr>
        <w:t>10</w:t>
      </w:r>
      <w:r>
        <w:fldChar w:fldCharType="end"/>
      </w:r>
      <w:r w:rsidRPr="00062A9C">
        <w:t xml:space="preserve"> shows examples of the </w:t>
      </w:r>
      <w:r>
        <w:t>forecast</w:t>
      </w:r>
      <w:r w:rsidRPr="00062A9C">
        <w:t>s obtained by the TFT-based surrogate flow model</w:t>
      </w:r>
      <w:r>
        <w:t xml:space="preserve"> over </w:t>
      </w:r>
      <w:r w:rsidR="008F7FB6">
        <w:t>W</w:t>
      </w:r>
      <w:r>
        <w:t>ell #2</w:t>
      </w:r>
      <w:r w:rsidRPr="00062A9C">
        <w:t xml:space="preserve">. We select this </w:t>
      </w:r>
      <w:r>
        <w:t>well</w:t>
      </w:r>
      <w:r w:rsidRPr="00062A9C">
        <w:t xml:space="preserve"> because the forecasting period contains no events, resulting in a smooth curve with little uncertainty in the forecasted rates by the</w:t>
      </w:r>
      <w:r>
        <w:t xml:space="preserve"> TFT-based</w:t>
      </w:r>
      <w:r w:rsidRPr="00062A9C">
        <w:t xml:space="preserve"> surrogate flow model.</w:t>
      </w:r>
      <w:r w:rsidR="007B049E">
        <w:t xml:space="preserve"> </w:t>
      </w:r>
      <w:r w:rsidR="00970C91">
        <w:fldChar w:fldCharType="begin"/>
      </w:r>
      <w:r w:rsidR="00970C91">
        <w:instrText xml:space="preserve"> REF _Ref129110089 \h </w:instrText>
      </w:r>
      <w:r w:rsidR="00970C91">
        <w:fldChar w:fldCharType="separate"/>
      </w:r>
      <w:r w:rsidR="00B11BFB">
        <w:t xml:space="preserve">Figure </w:t>
      </w:r>
      <w:r w:rsidR="00B11BFB">
        <w:rPr>
          <w:noProof/>
        </w:rPr>
        <w:t>11</w:t>
      </w:r>
      <w:r w:rsidR="00970C91">
        <w:fldChar w:fldCharType="end"/>
      </w:r>
      <w:r w:rsidR="00970C91">
        <w:t xml:space="preserve"> presents the IQR for every </w:t>
      </w:r>
      <w:r w:rsidR="00B43139">
        <w:t>forecasted value</w:t>
      </w:r>
      <w:r w:rsidR="00970C91">
        <w:t xml:space="preserve"> </w:t>
      </w:r>
      <w:r w:rsidR="006829F0">
        <w:t>presented in</w:t>
      </w:r>
      <w:r w:rsidR="00B43139">
        <w:t xml:space="preserve"> </w:t>
      </w:r>
      <w:r w:rsidR="00A6275A">
        <w:fldChar w:fldCharType="begin"/>
      </w:r>
      <w:r w:rsidR="00A6275A">
        <w:instrText xml:space="preserve"> REF _Ref127201774 \h </w:instrText>
      </w:r>
      <w:r w:rsidR="00A6275A">
        <w:fldChar w:fldCharType="separate"/>
      </w:r>
      <w:r w:rsidR="00B11BFB">
        <w:t xml:space="preserve">Figure </w:t>
      </w:r>
      <w:r w:rsidR="00B11BFB">
        <w:rPr>
          <w:noProof/>
        </w:rPr>
        <w:t>10</w:t>
      </w:r>
      <w:r w:rsidR="00A6275A">
        <w:fldChar w:fldCharType="end"/>
      </w:r>
      <w:r w:rsidR="00B43139">
        <w:t>.</w:t>
      </w:r>
    </w:p>
    <w:p w14:paraId="1B6C8D2C" w14:textId="77777777" w:rsidR="004404F1" w:rsidRDefault="004404F1" w:rsidP="004404F1">
      <w:pPr>
        <w:keepNext/>
        <w:jc w:val="center"/>
      </w:pPr>
      <w:r>
        <w:rPr>
          <w:noProof/>
        </w:rPr>
        <w:lastRenderedPageBreak/>
        <w:drawing>
          <wp:inline distT="0" distB="0" distL="0" distR="0" wp14:anchorId="0913F9AC" wp14:editId="5E5DF879">
            <wp:extent cx="5937885" cy="2327275"/>
            <wp:effectExtent l="0" t="0" r="5715"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885" cy="2327275"/>
                    </a:xfrm>
                    <a:prstGeom prst="rect">
                      <a:avLst/>
                    </a:prstGeom>
                    <a:noFill/>
                    <a:ln>
                      <a:noFill/>
                    </a:ln>
                  </pic:spPr>
                </pic:pic>
              </a:graphicData>
            </a:graphic>
          </wp:inline>
        </w:drawing>
      </w:r>
    </w:p>
    <w:p w14:paraId="2E709FA9" w14:textId="1238AF47" w:rsidR="004404F1" w:rsidRDefault="004404F1" w:rsidP="003D0579">
      <w:pPr>
        <w:pStyle w:val="Caption"/>
      </w:pPr>
      <w:bookmarkStart w:id="21" w:name="_Ref127201766"/>
      <w:r>
        <w:t xml:space="preserve">Figure </w:t>
      </w:r>
      <w:fldSimple w:instr=" SEQ Figure \* ARABIC ">
        <w:r w:rsidR="00B11BFB">
          <w:rPr>
            <w:noProof/>
          </w:rPr>
          <w:t>9</w:t>
        </w:r>
      </w:fldSimple>
      <w:bookmarkEnd w:id="21"/>
      <w:r w:rsidR="00E431EC">
        <w:t>.-</w:t>
      </w:r>
      <w:r>
        <w:rPr>
          <w:noProof/>
        </w:rPr>
        <w:t xml:space="preserve"> </w:t>
      </w:r>
      <w:r w:rsidRPr="00964326">
        <w:rPr>
          <w:noProof/>
        </w:rPr>
        <w:t>Error distribution over the testing dataset</w:t>
      </w:r>
      <w:r w:rsidR="004E4616">
        <w:rPr>
          <w:noProof/>
        </w:rPr>
        <w:t xml:space="preserve"> from scenario A</w:t>
      </w:r>
      <w:r>
        <w:rPr>
          <w:noProof/>
        </w:rPr>
        <w:t>. In a) we show the distribution of SMAPE</w:t>
      </w:r>
      <w:r w:rsidR="00CE58AE">
        <w:rPr>
          <w:noProof/>
        </w:rPr>
        <w:t>,</w:t>
      </w:r>
      <w:r>
        <w:rPr>
          <w:noProof/>
        </w:rPr>
        <w:t xml:space="preserve"> while b) shows the distribution of the MAE.</w:t>
      </w:r>
    </w:p>
    <w:p w14:paraId="31A9E598" w14:textId="77777777" w:rsidR="004404F1" w:rsidRDefault="004404F1" w:rsidP="00827E70">
      <w:pPr>
        <w:jc w:val="center"/>
      </w:pPr>
      <w:r>
        <w:rPr>
          <w:noProof/>
        </w:rPr>
        <w:drawing>
          <wp:inline distT="0" distB="0" distL="0" distR="0" wp14:anchorId="5612349D" wp14:editId="13795224">
            <wp:extent cx="4646428" cy="3647319"/>
            <wp:effectExtent l="0" t="0" r="1905"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1586" cy="3659218"/>
                    </a:xfrm>
                    <a:prstGeom prst="rect">
                      <a:avLst/>
                    </a:prstGeom>
                    <a:noFill/>
                    <a:ln>
                      <a:noFill/>
                    </a:ln>
                  </pic:spPr>
                </pic:pic>
              </a:graphicData>
            </a:graphic>
          </wp:inline>
        </w:drawing>
      </w:r>
    </w:p>
    <w:p w14:paraId="5DD9D1D5" w14:textId="190E961F" w:rsidR="004404F1" w:rsidRDefault="004404F1" w:rsidP="003D0579">
      <w:pPr>
        <w:pStyle w:val="Caption"/>
      </w:pPr>
      <w:bookmarkStart w:id="22" w:name="_Ref127201774"/>
      <w:r>
        <w:t xml:space="preserve">Figure </w:t>
      </w:r>
      <w:fldSimple w:instr=" SEQ Figure \* ARABIC ">
        <w:r w:rsidR="00B11BFB">
          <w:rPr>
            <w:noProof/>
          </w:rPr>
          <w:t>10</w:t>
        </w:r>
      </w:fldSimple>
      <w:bookmarkEnd w:id="22"/>
      <w:r w:rsidR="003D2B45">
        <w:t>.-</w:t>
      </w:r>
      <w:r>
        <w:t xml:space="preserve"> Forecasting with the TFT-based surrogate flow model. In </w:t>
      </w:r>
      <w:r w:rsidRPr="00062A9C">
        <w:t xml:space="preserve">a) </w:t>
      </w:r>
      <w:r>
        <w:t>w</w:t>
      </w:r>
      <w:r w:rsidRPr="00062A9C">
        <w:t xml:space="preserve">e use the last 180 days of the production history for testing. In this figure we show the </w:t>
      </w:r>
      <w:r>
        <w:t>forecasts</w:t>
      </w:r>
      <w:r w:rsidRPr="00062A9C">
        <w:t xml:space="preserve"> for time step 1</w:t>
      </w:r>
      <w:r>
        <w:t>0</w:t>
      </w:r>
      <w:r w:rsidRPr="00062A9C">
        <w:t xml:space="preserve">20. The red points are the forecasted data, and the black points are the measured values. In </w:t>
      </w:r>
      <w:r w:rsidRPr="00062A9C">
        <w:lastRenderedPageBreak/>
        <w:t xml:space="preserve">shadows of grey, we show the P10 and P90 confidence intervals. The confidence intervals for this figure are small, indicating little uncertainty in future </w:t>
      </w:r>
      <w:r>
        <w:t>forecasts</w:t>
      </w:r>
      <w:r w:rsidRPr="00062A9C">
        <w:t>. In subfigure b) we show the events for the period. We observe no events in this period.</w:t>
      </w:r>
    </w:p>
    <w:p w14:paraId="0853BB83" w14:textId="77777777" w:rsidR="00827E70" w:rsidRDefault="00827E70" w:rsidP="00827E70">
      <w:r>
        <w:rPr>
          <w:noProof/>
        </w:rPr>
        <w:drawing>
          <wp:inline distT="0" distB="0" distL="0" distR="0" wp14:anchorId="3050E028" wp14:editId="29B43766">
            <wp:extent cx="5936615" cy="272986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2729865"/>
                    </a:xfrm>
                    <a:prstGeom prst="rect">
                      <a:avLst/>
                    </a:prstGeom>
                    <a:noFill/>
                    <a:ln>
                      <a:noFill/>
                    </a:ln>
                  </pic:spPr>
                </pic:pic>
              </a:graphicData>
            </a:graphic>
          </wp:inline>
        </w:drawing>
      </w:r>
    </w:p>
    <w:p w14:paraId="0F4D4FFC" w14:textId="093E07B7" w:rsidR="00BF695C" w:rsidRPr="00BF695C" w:rsidRDefault="00827E70" w:rsidP="003D0579">
      <w:pPr>
        <w:pStyle w:val="Caption"/>
      </w:pPr>
      <w:bookmarkStart w:id="23" w:name="_Ref129110089"/>
      <w:r>
        <w:t xml:space="preserve">Figure </w:t>
      </w:r>
      <w:fldSimple w:instr=" SEQ Figure \* ARABIC ">
        <w:r w:rsidR="00B11BFB">
          <w:rPr>
            <w:noProof/>
          </w:rPr>
          <w:t>11</w:t>
        </w:r>
      </w:fldSimple>
      <w:bookmarkEnd w:id="23"/>
      <w:r w:rsidR="000D3ADD">
        <w:t>.-</w:t>
      </w:r>
      <w:r w:rsidR="00993478">
        <w:t xml:space="preserve"> To evaluate the uncertainty </w:t>
      </w:r>
      <w:r w:rsidR="0030497C">
        <w:t>in the</w:t>
      </w:r>
      <w:r w:rsidR="002F3443">
        <w:t xml:space="preserve"> resulting</w:t>
      </w:r>
      <w:r w:rsidR="00993478">
        <w:t xml:space="preserve"> non-sy</w:t>
      </w:r>
      <w:r w:rsidR="00407C08">
        <w:t>m</w:t>
      </w:r>
      <w:r w:rsidR="00993478">
        <w:t xml:space="preserve">metrical distribution </w:t>
      </w:r>
      <w:r w:rsidR="002F3443">
        <w:t>at every time step</w:t>
      </w:r>
      <w:r w:rsidR="00407C08">
        <w:t>,</w:t>
      </w:r>
      <w:r w:rsidR="002F3443">
        <w:t xml:space="preserve"> </w:t>
      </w:r>
      <w:r w:rsidR="00993478">
        <w:t xml:space="preserve">we use the </w:t>
      </w:r>
      <w:r w:rsidR="00D95B8C">
        <w:t>IQR</w:t>
      </w:r>
      <w:r w:rsidR="00DB2E4E">
        <w:t xml:space="preserve">. </w:t>
      </w:r>
      <w:r w:rsidR="00993478">
        <w:t xml:space="preserve">The IQR </w:t>
      </w:r>
      <w:r w:rsidR="00407C08">
        <w:t>measures</w:t>
      </w:r>
      <w:r w:rsidR="00993478">
        <w:t xml:space="preserve"> the spread of the middle 50% of the data</w:t>
      </w:r>
      <w:r w:rsidR="00447E7A">
        <w:t xml:space="preserve"> at every time step.</w:t>
      </w:r>
      <w:r w:rsidR="000C22B3">
        <w:t xml:space="preserve"> For the case presented in </w:t>
      </w:r>
      <w:r w:rsidR="00407C08">
        <w:fldChar w:fldCharType="begin"/>
      </w:r>
      <w:r w:rsidR="00407C08">
        <w:instrText xml:space="preserve"> REF _Ref127201774 \h </w:instrText>
      </w:r>
      <w:r w:rsidR="00407C08">
        <w:fldChar w:fldCharType="separate"/>
      </w:r>
      <w:r w:rsidR="00B11BFB">
        <w:t xml:space="preserve">Figure </w:t>
      </w:r>
      <w:r w:rsidR="00B11BFB">
        <w:rPr>
          <w:noProof/>
        </w:rPr>
        <w:t>10</w:t>
      </w:r>
      <w:r w:rsidR="00407C08">
        <w:fldChar w:fldCharType="end"/>
      </w:r>
      <w:r w:rsidR="00407C08">
        <w:t>,</w:t>
      </w:r>
      <w:r w:rsidR="000C22B3">
        <w:t xml:space="preserve"> we observe small values of the IQR</w:t>
      </w:r>
      <w:r w:rsidR="002C3E6A">
        <w:t>.</w:t>
      </w:r>
    </w:p>
    <w:p w14:paraId="24021D49" w14:textId="77777777" w:rsidR="004404F1" w:rsidRPr="00062A9C" w:rsidRDefault="00875DA9" w:rsidP="004404F1">
      <w:r>
        <w:t xml:space="preserve">To complement </w:t>
      </w:r>
      <w:r>
        <w:fldChar w:fldCharType="begin"/>
      </w:r>
      <w:r>
        <w:instrText xml:space="preserve"> REF _Ref127201774 \h </w:instrText>
      </w:r>
      <w:r>
        <w:fldChar w:fldCharType="separate"/>
      </w:r>
      <w:r w:rsidR="00B11BFB">
        <w:t xml:space="preserve">Figure </w:t>
      </w:r>
      <w:r w:rsidR="00B11BFB">
        <w:rPr>
          <w:noProof/>
        </w:rPr>
        <w:t>10</w:t>
      </w:r>
      <w:r>
        <w:fldChar w:fldCharType="end"/>
      </w:r>
      <w:r w:rsidR="00407C08">
        <w:t>,</w:t>
      </w:r>
      <w:r w:rsidR="00D3526B">
        <w:t xml:space="preserve"> we plot</w:t>
      </w:r>
      <w:r w:rsidR="004404F1" w:rsidRPr="00062A9C">
        <w:t xml:space="preserve"> the encoder and decoder attention head weights and the events</w:t>
      </w:r>
      <w:r w:rsidR="00323C6B">
        <w:t xml:space="preserve"> predictor</w:t>
      </w:r>
      <w:r w:rsidR="004404F1" w:rsidRPr="00062A9C">
        <w:t xml:space="preserve"> feature in </w:t>
      </w:r>
      <w:r w:rsidR="004404F1">
        <w:fldChar w:fldCharType="begin"/>
      </w:r>
      <w:r w:rsidR="004404F1">
        <w:instrText xml:space="preserve"> REF _Ref127201783 \h </w:instrText>
      </w:r>
      <w:r w:rsidR="004404F1">
        <w:fldChar w:fldCharType="separate"/>
      </w:r>
      <w:r w:rsidR="00B11BFB">
        <w:t xml:space="preserve">Figure </w:t>
      </w:r>
      <w:r w:rsidR="00B11BFB">
        <w:rPr>
          <w:noProof/>
        </w:rPr>
        <w:t>12</w:t>
      </w:r>
      <w:r w:rsidR="004404F1">
        <w:fldChar w:fldCharType="end"/>
      </w:r>
      <w:r w:rsidR="004404F1" w:rsidRPr="00062A9C">
        <w:t>. We observe equal attention weights over periods with no events for the encoded part of the time series. However, for the decoder,</w:t>
      </w:r>
      <w:r w:rsidR="004404F1">
        <w:t xml:space="preserve"> </w:t>
      </w:r>
      <w:r w:rsidR="004404F1" w:rsidRPr="00062A9C">
        <w:t xml:space="preserve">the initial </w:t>
      </w:r>
      <w:r w:rsidR="004404F1">
        <w:t>forecast</w:t>
      </w:r>
      <w:r w:rsidR="004404F1" w:rsidRPr="00062A9C">
        <w:t xml:space="preserve">ed rates must be consistent with the observed historical production. Resulting in greater attention weights for the first </w:t>
      </w:r>
      <w:r w:rsidR="004404F1">
        <w:t>forecasted</w:t>
      </w:r>
      <w:r w:rsidR="004404F1" w:rsidRPr="00062A9C">
        <w:t xml:space="preserve"> steps decreasing </w:t>
      </w:r>
      <w:proofErr w:type="gramStart"/>
      <w:r w:rsidR="004404F1" w:rsidRPr="00062A9C">
        <w:t>until</w:t>
      </w:r>
      <w:proofErr w:type="gramEnd"/>
      <w:r w:rsidR="004404F1" w:rsidRPr="00062A9C">
        <w:t xml:space="preserve"> zero. </w:t>
      </w:r>
    </w:p>
    <w:p w14:paraId="002A4FD7" w14:textId="77777777" w:rsidR="004404F1" w:rsidRDefault="004404F1" w:rsidP="004404F1">
      <w:pPr>
        <w:keepNext/>
        <w:jc w:val="center"/>
      </w:pPr>
      <w:r>
        <w:rPr>
          <w:noProof/>
        </w:rPr>
        <w:lastRenderedPageBreak/>
        <w:drawing>
          <wp:inline distT="0" distB="0" distL="0" distR="0" wp14:anchorId="01BE07DE" wp14:editId="724091E2">
            <wp:extent cx="5656521" cy="4409941"/>
            <wp:effectExtent l="0" t="0" r="190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9780" cy="4474851"/>
                    </a:xfrm>
                    <a:prstGeom prst="rect">
                      <a:avLst/>
                    </a:prstGeom>
                    <a:noFill/>
                    <a:ln>
                      <a:noFill/>
                    </a:ln>
                  </pic:spPr>
                </pic:pic>
              </a:graphicData>
            </a:graphic>
          </wp:inline>
        </w:drawing>
      </w:r>
    </w:p>
    <w:p w14:paraId="7245A82B" w14:textId="209D1A2B" w:rsidR="004404F1" w:rsidRPr="00062A9C" w:rsidRDefault="004404F1" w:rsidP="003D0579">
      <w:pPr>
        <w:pStyle w:val="Caption"/>
      </w:pPr>
      <w:bookmarkStart w:id="24" w:name="_Ref127201783"/>
      <w:r>
        <w:t xml:space="preserve">Figure </w:t>
      </w:r>
      <w:fldSimple w:instr=" SEQ Figure \* ARABIC ">
        <w:r w:rsidR="00B11BFB">
          <w:rPr>
            <w:noProof/>
          </w:rPr>
          <w:t>12</w:t>
        </w:r>
      </w:fldSimple>
      <w:bookmarkEnd w:id="24"/>
      <w:r w:rsidR="00280DA2">
        <w:t>.</w:t>
      </w:r>
      <w:r w:rsidR="007648FB">
        <w:t>-</w:t>
      </w:r>
      <w:r>
        <w:t xml:space="preserve"> In subfigure a) we show </w:t>
      </w:r>
      <w:r w:rsidR="00407C08">
        <w:t xml:space="preserve">the </w:t>
      </w:r>
      <w:r>
        <w:t xml:space="preserve">oil rate </w:t>
      </w:r>
      <w:r w:rsidRPr="00062A9C">
        <w:t>forecast</w:t>
      </w:r>
      <w:r w:rsidR="00407C08">
        <w:t xml:space="preserve"> and encoder-decoder attention weights;</w:t>
      </w:r>
      <w:r w:rsidRPr="00062A9C">
        <w:t xml:space="preserve"> </w:t>
      </w:r>
      <w:r>
        <w:t xml:space="preserve">in subfigure b) we show the </w:t>
      </w:r>
      <w:r w:rsidRPr="00062A9C">
        <w:t>events</w:t>
      </w:r>
      <w:r w:rsidR="006C07AA">
        <w:t xml:space="preserve"> predictor</w:t>
      </w:r>
      <w:r w:rsidRPr="00062A9C">
        <w:t xml:space="preserve"> feature. The attention head weights show a consistent trend of high attention at the beginning of the </w:t>
      </w:r>
      <w:r>
        <w:t>forecast</w:t>
      </w:r>
      <w:r w:rsidRPr="00062A9C">
        <w:t>s and decrease until the last time step.</w:t>
      </w:r>
    </w:p>
    <w:p w14:paraId="75517B3F" w14:textId="77777777" w:rsidR="004404F1" w:rsidRPr="00062A9C" w:rsidRDefault="004404F1" w:rsidP="004404F1">
      <w:r>
        <w:fldChar w:fldCharType="begin"/>
      </w:r>
      <w:r>
        <w:instrText xml:space="preserve"> REF _Ref127201791 \h </w:instrText>
      </w:r>
      <w:r>
        <w:fldChar w:fldCharType="separate"/>
      </w:r>
      <w:r w:rsidR="00B11BFB">
        <w:t xml:space="preserve">Figure </w:t>
      </w:r>
      <w:r w:rsidR="00B11BFB">
        <w:rPr>
          <w:noProof/>
        </w:rPr>
        <w:t>13</w:t>
      </w:r>
      <w:r>
        <w:fldChar w:fldCharType="end"/>
      </w:r>
      <w:r>
        <w:t xml:space="preserve"> shows</w:t>
      </w:r>
      <w:r w:rsidRPr="00062A9C">
        <w:t xml:space="preserve"> a forecasting period</w:t>
      </w:r>
      <w:r>
        <w:t xml:space="preserve"> at time 1020</w:t>
      </w:r>
      <w:r w:rsidRPr="00062A9C">
        <w:t xml:space="preserve"> for Well #5 </w:t>
      </w:r>
      <w:r>
        <w:t>containing a scheduled choke size chang</w:t>
      </w:r>
      <w:r w:rsidRPr="00062A9C">
        <w:t xml:space="preserve">e. We observe an increase in the forecasted oil rate resulting from the change in choke size. </w:t>
      </w:r>
      <w:r>
        <w:t>Compared</w:t>
      </w:r>
      <w:r w:rsidRPr="00062A9C">
        <w:t xml:space="preserve"> with </w:t>
      </w:r>
      <w:r>
        <w:fldChar w:fldCharType="begin"/>
      </w:r>
      <w:r>
        <w:instrText xml:space="preserve"> REF _Ref127201774 \h </w:instrText>
      </w:r>
      <w:r>
        <w:fldChar w:fldCharType="separate"/>
      </w:r>
      <w:r w:rsidR="00B11BFB">
        <w:t xml:space="preserve">Figure </w:t>
      </w:r>
      <w:r w:rsidR="00B11BFB">
        <w:rPr>
          <w:noProof/>
        </w:rPr>
        <w:t>10</w:t>
      </w:r>
      <w:r>
        <w:fldChar w:fldCharType="end"/>
      </w:r>
      <w:r w:rsidRPr="00062A9C">
        <w:t xml:space="preserve">, the </w:t>
      </w:r>
      <w:r>
        <w:t>forecasted uncertainty</w:t>
      </w:r>
      <w:r w:rsidRPr="00062A9C">
        <w:t xml:space="preserve"> increases, as observed with the confidence intervals</w:t>
      </w:r>
      <w:r w:rsidR="00DD4792">
        <w:t xml:space="preserve"> and the IQR for ever</w:t>
      </w:r>
      <w:r w:rsidR="0032157B">
        <w:t>y</w:t>
      </w:r>
      <w:r w:rsidR="00DD4792">
        <w:t xml:space="preserve"> time step</w:t>
      </w:r>
      <w:r w:rsidR="0032157B">
        <w:t>,</w:t>
      </w:r>
      <w:r w:rsidR="00DD4792">
        <w:t xml:space="preserve"> as shown in</w:t>
      </w:r>
      <w:r w:rsidR="00426B2A">
        <w:t xml:space="preserve"> </w:t>
      </w:r>
      <w:r w:rsidR="00426B2A">
        <w:fldChar w:fldCharType="begin"/>
      </w:r>
      <w:r w:rsidR="00426B2A">
        <w:instrText xml:space="preserve"> REF _Ref129110573 \h </w:instrText>
      </w:r>
      <w:r w:rsidR="00426B2A">
        <w:fldChar w:fldCharType="separate"/>
      </w:r>
      <w:r w:rsidR="00B11BFB">
        <w:t xml:space="preserve">Figure </w:t>
      </w:r>
      <w:r w:rsidR="00B11BFB">
        <w:rPr>
          <w:noProof/>
        </w:rPr>
        <w:t>14</w:t>
      </w:r>
      <w:r w:rsidR="00426B2A">
        <w:fldChar w:fldCharType="end"/>
      </w:r>
      <w:r w:rsidRPr="00062A9C">
        <w:t xml:space="preserve">. To complement </w:t>
      </w:r>
      <w:r>
        <w:fldChar w:fldCharType="begin"/>
      </w:r>
      <w:r>
        <w:instrText xml:space="preserve"> REF _Ref127201791 \h </w:instrText>
      </w:r>
      <w:r>
        <w:fldChar w:fldCharType="separate"/>
      </w:r>
      <w:r w:rsidR="00B11BFB">
        <w:t xml:space="preserve">Figure </w:t>
      </w:r>
      <w:r w:rsidR="00B11BFB">
        <w:rPr>
          <w:noProof/>
        </w:rPr>
        <w:t>13</w:t>
      </w:r>
      <w:r>
        <w:fldChar w:fldCharType="end"/>
      </w:r>
      <w:r w:rsidRPr="00062A9C">
        <w:t xml:space="preserve">, we include </w:t>
      </w:r>
      <w:r>
        <w:fldChar w:fldCharType="begin"/>
      </w:r>
      <w:r>
        <w:instrText xml:space="preserve"> REF _Ref127201813 \h </w:instrText>
      </w:r>
      <w:r>
        <w:fldChar w:fldCharType="separate"/>
      </w:r>
      <w:r w:rsidR="00B11BFB">
        <w:t xml:space="preserve">Figure </w:t>
      </w:r>
      <w:r w:rsidR="00B11BFB">
        <w:rPr>
          <w:noProof/>
        </w:rPr>
        <w:t>15</w:t>
      </w:r>
      <w:r>
        <w:fldChar w:fldCharType="end"/>
      </w:r>
      <w:r w:rsidRPr="00062A9C">
        <w:t xml:space="preserve"> with the attention head weights. This figure shows increased attention to sharp changes corresponding to events </w:t>
      </w:r>
      <w:r w:rsidRPr="00062A9C">
        <w:lastRenderedPageBreak/>
        <w:t>for the decoder part. Greater attention weights are expected as we would pay more attention to changes in the schedule for our forecasts.</w:t>
      </w:r>
    </w:p>
    <w:p w14:paraId="51F21141" w14:textId="77777777" w:rsidR="004404F1" w:rsidRDefault="004404F1" w:rsidP="004404F1">
      <w:pPr>
        <w:keepNext/>
      </w:pPr>
      <w:r>
        <w:rPr>
          <w:noProof/>
        </w:rPr>
        <w:drawing>
          <wp:inline distT="0" distB="0" distL="0" distR="0" wp14:anchorId="32297AD3" wp14:editId="7C59B476">
            <wp:extent cx="5943600" cy="4284980"/>
            <wp:effectExtent l="0" t="0" r="0" b="127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284980"/>
                    </a:xfrm>
                    <a:prstGeom prst="rect">
                      <a:avLst/>
                    </a:prstGeom>
                    <a:noFill/>
                    <a:ln>
                      <a:noFill/>
                    </a:ln>
                  </pic:spPr>
                </pic:pic>
              </a:graphicData>
            </a:graphic>
          </wp:inline>
        </w:drawing>
      </w:r>
    </w:p>
    <w:p w14:paraId="4E8CBDB5" w14:textId="069F7381" w:rsidR="004404F1" w:rsidRDefault="004404F1" w:rsidP="003D0579">
      <w:pPr>
        <w:pStyle w:val="Caption"/>
      </w:pPr>
      <w:bookmarkStart w:id="25" w:name="_Ref127201791"/>
      <w:r>
        <w:t xml:space="preserve">Figure </w:t>
      </w:r>
      <w:fldSimple w:instr=" SEQ Figure \* ARABIC ">
        <w:r w:rsidR="00B11BFB">
          <w:rPr>
            <w:noProof/>
          </w:rPr>
          <w:t>13</w:t>
        </w:r>
      </w:fldSimple>
      <w:bookmarkEnd w:id="25"/>
      <w:r w:rsidR="00680CA6">
        <w:t>.-</w:t>
      </w:r>
      <w:r>
        <w:t xml:space="preserve"> </w:t>
      </w:r>
      <w:r w:rsidRPr="00062A9C">
        <w:t>Example of</w:t>
      </w:r>
      <w:r>
        <w:t xml:space="preserve"> oil</w:t>
      </w:r>
      <w:r w:rsidRPr="00062A9C">
        <w:t xml:space="preserve"> forecasting </w:t>
      </w:r>
      <w:r>
        <w:t>for a</w:t>
      </w:r>
      <w:r w:rsidRPr="00062A9C">
        <w:t xml:space="preserve"> well with scheduled events a) The black line represents the start of the </w:t>
      </w:r>
      <w:r>
        <w:t>forecast</w:t>
      </w:r>
      <w:r w:rsidRPr="00062A9C">
        <w:t xml:space="preserve">. The red points are the forecasted </w:t>
      </w:r>
      <w:r>
        <w:t>oil rate</w:t>
      </w:r>
      <w:r w:rsidRPr="00062A9C">
        <w:t xml:space="preserve">, and the black points are the measured </w:t>
      </w:r>
      <w:r>
        <w:t>rates</w:t>
      </w:r>
      <w:r w:rsidRPr="00062A9C">
        <w:t>. In shadows of grey, we show the P10 and P90 confidence intervals. In subfigure b) we show a change in choke size in this period.</w:t>
      </w:r>
    </w:p>
    <w:p w14:paraId="0856B375" w14:textId="77777777" w:rsidR="00747934" w:rsidRDefault="00747934" w:rsidP="00747934">
      <w:pPr>
        <w:keepNext/>
      </w:pPr>
      <w:r>
        <w:rPr>
          <w:noProof/>
        </w:rPr>
        <w:lastRenderedPageBreak/>
        <w:drawing>
          <wp:inline distT="0" distB="0" distL="0" distR="0" wp14:anchorId="186CFB78" wp14:editId="27F7F3F3">
            <wp:extent cx="5936615" cy="2702560"/>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2702560"/>
                    </a:xfrm>
                    <a:prstGeom prst="rect">
                      <a:avLst/>
                    </a:prstGeom>
                    <a:noFill/>
                    <a:ln>
                      <a:noFill/>
                    </a:ln>
                  </pic:spPr>
                </pic:pic>
              </a:graphicData>
            </a:graphic>
          </wp:inline>
        </w:drawing>
      </w:r>
    </w:p>
    <w:p w14:paraId="012F35CC" w14:textId="25666E85" w:rsidR="00747934" w:rsidRPr="00747934" w:rsidRDefault="00747934" w:rsidP="003D0579">
      <w:pPr>
        <w:pStyle w:val="Caption"/>
      </w:pPr>
      <w:bookmarkStart w:id="26" w:name="_Ref129110573"/>
      <w:r>
        <w:t xml:space="preserve">Figure </w:t>
      </w:r>
      <w:fldSimple w:instr=" SEQ Figure \* ARABIC ">
        <w:r w:rsidR="00B11BFB">
          <w:rPr>
            <w:noProof/>
          </w:rPr>
          <w:t>14</w:t>
        </w:r>
      </w:fldSimple>
      <w:bookmarkEnd w:id="26"/>
      <w:r w:rsidR="005110BA">
        <w:t>.-</w:t>
      </w:r>
      <w:r>
        <w:t xml:space="preserve"> IQR </w:t>
      </w:r>
      <w:r w:rsidR="00D30020">
        <w:t>shows</w:t>
      </w:r>
      <w:r>
        <w:t xml:space="preserve"> the spread of the middle 50% of the data at every time step</w:t>
      </w:r>
      <w:r w:rsidR="0092256F">
        <w:t xml:space="preserve"> f</w:t>
      </w:r>
      <w:r>
        <w:t xml:space="preserve">or the case presented in </w:t>
      </w:r>
      <w:r w:rsidR="0092256F">
        <w:fldChar w:fldCharType="begin"/>
      </w:r>
      <w:r w:rsidR="0092256F">
        <w:instrText xml:space="preserve"> REF _Ref127201791 \h </w:instrText>
      </w:r>
      <w:r w:rsidR="0092256F">
        <w:fldChar w:fldCharType="separate"/>
      </w:r>
      <w:r w:rsidR="00B11BFB">
        <w:t xml:space="preserve">Figure </w:t>
      </w:r>
      <w:r w:rsidR="00B11BFB">
        <w:rPr>
          <w:noProof/>
        </w:rPr>
        <w:t>13</w:t>
      </w:r>
      <w:r w:rsidR="0092256F">
        <w:fldChar w:fldCharType="end"/>
      </w:r>
      <w:r w:rsidR="00D30020">
        <w:t>.</w:t>
      </w:r>
    </w:p>
    <w:p w14:paraId="0B2F7F9F" w14:textId="77777777" w:rsidR="004404F1" w:rsidRDefault="004404F1" w:rsidP="004404F1">
      <w:pPr>
        <w:pStyle w:val="Figures"/>
        <w:keepNext/>
      </w:pPr>
      <w:r>
        <w:rPr>
          <w:noProof/>
        </w:rPr>
        <w:lastRenderedPageBreak/>
        <w:drawing>
          <wp:inline distT="0" distB="0" distL="0" distR="0" wp14:anchorId="6E568472" wp14:editId="0823FB16">
            <wp:extent cx="5932805" cy="4284980"/>
            <wp:effectExtent l="0" t="0" r="0" b="1270"/>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5" cy="4284980"/>
                    </a:xfrm>
                    <a:prstGeom prst="rect">
                      <a:avLst/>
                    </a:prstGeom>
                    <a:noFill/>
                    <a:ln>
                      <a:noFill/>
                    </a:ln>
                  </pic:spPr>
                </pic:pic>
              </a:graphicData>
            </a:graphic>
          </wp:inline>
        </w:drawing>
      </w:r>
    </w:p>
    <w:p w14:paraId="383FA631" w14:textId="2710F080" w:rsidR="004404F1" w:rsidRPr="00062A9C" w:rsidRDefault="004404F1" w:rsidP="003D0579">
      <w:pPr>
        <w:pStyle w:val="Caption"/>
      </w:pPr>
      <w:bookmarkStart w:id="27" w:name="_Ref127201813"/>
      <w:r>
        <w:t xml:space="preserve">Figure </w:t>
      </w:r>
      <w:fldSimple w:instr=" SEQ Figure \* ARABIC ">
        <w:r w:rsidR="00B11BFB">
          <w:rPr>
            <w:noProof/>
          </w:rPr>
          <w:t>15</w:t>
        </w:r>
      </w:fldSimple>
      <w:bookmarkEnd w:id="27"/>
      <w:r w:rsidR="00922F1C">
        <w:t>.-</w:t>
      </w:r>
      <w:r>
        <w:t xml:space="preserve"> </w:t>
      </w:r>
      <w:r w:rsidRPr="00062A9C">
        <w:t xml:space="preserve">Production forecast with rate, encoder-decoder attention weights, and events </w:t>
      </w:r>
      <w:r w:rsidR="00B1251C">
        <w:t xml:space="preserve">predictor </w:t>
      </w:r>
      <w:r w:rsidRPr="00062A9C">
        <w:t>feature. The attention head weights show consistent high attention weights to sharp changes corresponding to events for the decoder part.</w:t>
      </w:r>
    </w:p>
    <w:p w14:paraId="7CD78A50" w14:textId="4B348A0E" w:rsidR="004404F1" w:rsidRPr="00062A9C" w:rsidRDefault="00D30020" w:rsidP="004404F1">
      <w:r>
        <w:t xml:space="preserve">Figure 16 presents the static </w:t>
      </w:r>
      <w:r w:rsidR="00DB4737">
        <w:t xml:space="preserve">predictor feature </w:t>
      </w:r>
      <w:r>
        <w:t>importance to interpret the attention head weights</w:t>
      </w:r>
      <w:r w:rsidR="004404F1" w:rsidRPr="00062A9C">
        <w:t xml:space="preserve">. There is no prior knowledge of the importance of position, but position becomes the most </w:t>
      </w:r>
      <w:r w:rsidR="009607F9">
        <w:t>critical</w:t>
      </w:r>
      <w:r w:rsidR="004404F1" w:rsidRPr="00062A9C">
        <w:t xml:space="preserve"> static </w:t>
      </w:r>
      <w:r w:rsidR="002822C5">
        <w:t>predictor feature</w:t>
      </w:r>
      <w:r w:rsidR="004404F1" w:rsidRPr="00062A9C">
        <w:t xml:space="preserve">. As position changes, so </w:t>
      </w:r>
      <w:proofErr w:type="gramStart"/>
      <w:r w:rsidR="004404F1" w:rsidRPr="00062A9C">
        <w:t>do</w:t>
      </w:r>
      <w:proofErr w:type="gramEnd"/>
      <w:r w:rsidR="004404F1" w:rsidRPr="00062A9C">
        <w:t xml:space="preserve"> the initial porosity and permeability of the well.</w:t>
      </w:r>
    </w:p>
    <w:p w14:paraId="73E225C8" w14:textId="11C6F52A" w:rsidR="004404F1" w:rsidRDefault="00124E2C" w:rsidP="004404F1">
      <w:pPr>
        <w:keepNext/>
        <w:jc w:val="center"/>
      </w:pPr>
      <w:r>
        <w:rPr>
          <w:noProof/>
        </w:rPr>
        <w:lastRenderedPageBreak/>
        <w:drawing>
          <wp:inline distT="0" distB="0" distL="0" distR="0" wp14:anchorId="5427FA51" wp14:editId="57436CE3">
            <wp:extent cx="4912242" cy="1801680"/>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4060" cy="1809682"/>
                    </a:xfrm>
                    <a:prstGeom prst="rect">
                      <a:avLst/>
                    </a:prstGeom>
                    <a:noFill/>
                    <a:ln>
                      <a:noFill/>
                    </a:ln>
                  </pic:spPr>
                </pic:pic>
              </a:graphicData>
            </a:graphic>
          </wp:inline>
        </w:drawing>
      </w:r>
    </w:p>
    <w:p w14:paraId="45D05A46" w14:textId="4C1594BB" w:rsidR="004404F1" w:rsidRPr="00062A9C" w:rsidRDefault="004404F1" w:rsidP="003D0579">
      <w:pPr>
        <w:pStyle w:val="Caption"/>
      </w:pPr>
      <w:bookmarkStart w:id="28" w:name="_Ref127201828"/>
      <w:r>
        <w:t xml:space="preserve">Figure </w:t>
      </w:r>
      <w:fldSimple w:instr=" SEQ Figure \* ARABIC ">
        <w:r w:rsidR="00B11BFB">
          <w:rPr>
            <w:noProof/>
          </w:rPr>
          <w:t>16</w:t>
        </w:r>
      </w:fldSimple>
      <w:bookmarkEnd w:id="28"/>
      <w:r w:rsidR="00EF212D">
        <w:t>.-</w:t>
      </w:r>
      <w:r>
        <w:t xml:space="preserve"> </w:t>
      </w:r>
      <w:r w:rsidRPr="00062A9C">
        <w:t xml:space="preserve">Attention weights given to static </w:t>
      </w:r>
      <w:r w:rsidR="00956669">
        <w:t>predictor features</w:t>
      </w:r>
      <w:r w:rsidRPr="00062A9C">
        <w:t>. There is no prior knowledge of the importance of the position.</w:t>
      </w:r>
    </w:p>
    <w:p w14:paraId="65240991" w14:textId="6846C5A1" w:rsidR="004404F1" w:rsidRPr="00062A9C" w:rsidRDefault="009607F9" w:rsidP="004404F1">
      <w:r>
        <w:t>Figure 17 shows</w:t>
      </w:r>
      <w:r w:rsidR="004404F1" w:rsidRPr="00062A9C">
        <w:t xml:space="preserve"> the</w:t>
      </w:r>
      <w:r w:rsidR="004404F1">
        <w:t xml:space="preserve"> Shapley </w:t>
      </w:r>
      <w:r w:rsidR="004404F1" w:rsidRPr="00062A9C">
        <w:t xml:space="preserve">importance of the encoder </w:t>
      </w:r>
      <w:r w:rsidR="003E0E1E">
        <w:t>predictor feature</w:t>
      </w:r>
      <w:r w:rsidR="004838A5">
        <w:t>s</w:t>
      </w:r>
      <w:r w:rsidR="003E0E1E">
        <w:t xml:space="preserve"> </w:t>
      </w:r>
      <w:r w:rsidR="000B4782">
        <w:t xml:space="preserve">calculated with Equation </w:t>
      </w:r>
      <w:r w:rsidR="000B4782">
        <w:fldChar w:fldCharType="begin"/>
      </w:r>
      <w:r w:rsidR="000B4782">
        <w:instrText xml:space="preserve"> REF _Ref129047814 \h </w:instrText>
      </w:r>
      <w:r w:rsidR="000B4782">
        <w:fldChar w:fldCharType="separate"/>
      </w:r>
      <w:r w:rsidR="00B11BFB">
        <w:rPr>
          <w:noProof/>
        </w:rPr>
        <w:t>13</w:t>
      </w:r>
      <w:r w:rsidR="000B4782">
        <w:fldChar w:fldCharType="end"/>
      </w:r>
      <w:r w:rsidR="004404F1" w:rsidRPr="00062A9C">
        <w:t xml:space="preserve">. During encoding, the </w:t>
      </w:r>
      <w:r w:rsidR="00FC56A6">
        <w:t xml:space="preserve">rate and the </w:t>
      </w:r>
      <w:r w:rsidR="004404F1">
        <w:t>operation</w:t>
      </w:r>
      <w:r w:rsidR="004404F1" w:rsidRPr="00062A9C">
        <w:t xml:space="preserve"> at the previous time steps </w:t>
      </w:r>
      <w:r w:rsidR="006D41EE">
        <w:t>are</w:t>
      </w:r>
      <w:r w:rsidR="004404F1" w:rsidRPr="00062A9C">
        <w:t xml:space="preserve"> the most critical </w:t>
      </w:r>
      <w:r w:rsidR="003E0E1E">
        <w:t>predictor features</w:t>
      </w:r>
      <w:r w:rsidR="004404F1" w:rsidRPr="00062A9C">
        <w:t xml:space="preserve">, followed by the </w:t>
      </w:r>
      <w:r w:rsidR="004404F1">
        <w:t>location predictor features</w:t>
      </w:r>
      <w:r w:rsidR="007F0FBB">
        <w:t xml:space="preserve"> presented</w:t>
      </w:r>
      <w:r w:rsidR="004404F1">
        <w:t xml:space="preserve"> in equations </w:t>
      </w:r>
      <w:r w:rsidR="004404F1">
        <w:fldChar w:fldCharType="begin"/>
      </w:r>
      <w:r w:rsidR="004404F1">
        <w:instrText xml:space="preserve"> REF _Ref129002435 \h </w:instrText>
      </w:r>
      <w:r w:rsidR="004404F1">
        <w:fldChar w:fldCharType="separate"/>
      </w:r>
      <w:r w:rsidR="00B11BFB">
        <w:rPr>
          <w:noProof/>
        </w:rPr>
        <w:t>6</w:t>
      </w:r>
      <w:r w:rsidR="004404F1">
        <w:fldChar w:fldCharType="end"/>
      </w:r>
      <w:r w:rsidR="004404F1">
        <w:t xml:space="preserve"> and </w:t>
      </w:r>
      <w:r w:rsidR="004404F1">
        <w:fldChar w:fldCharType="begin"/>
      </w:r>
      <w:r w:rsidR="004404F1">
        <w:instrText xml:space="preserve"> REF _Ref129002437 \h </w:instrText>
      </w:r>
      <w:r w:rsidR="004404F1">
        <w:fldChar w:fldCharType="separate"/>
      </w:r>
      <w:r w:rsidR="00B11BFB">
        <w:rPr>
          <w:noProof/>
        </w:rPr>
        <w:t>7</w:t>
      </w:r>
      <w:r w:rsidR="004404F1">
        <w:fldChar w:fldCharType="end"/>
      </w:r>
      <w:r w:rsidR="004404F1" w:rsidRPr="00062A9C">
        <w:t>.</w:t>
      </w:r>
    </w:p>
    <w:p w14:paraId="328FED39" w14:textId="4041427E" w:rsidR="004404F1" w:rsidRDefault="00701543" w:rsidP="004404F1">
      <w:pPr>
        <w:keepNext/>
        <w:jc w:val="center"/>
      </w:pPr>
      <w:r>
        <w:rPr>
          <w:noProof/>
        </w:rPr>
        <w:drawing>
          <wp:inline distT="0" distB="0" distL="0" distR="0" wp14:anchorId="1416D999" wp14:editId="7B2EBDEC">
            <wp:extent cx="5178056" cy="248225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7289" cy="2486684"/>
                    </a:xfrm>
                    <a:prstGeom prst="rect">
                      <a:avLst/>
                    </a:prstGeom>
                    <a:noFill/>
                    <a:ln>
                      <a:noFill/>
                    </a:ln>
                  </pic:spPr>
                </pic:pic>
              </a:graphicData>
            </a:graphic>
          </wp:inline>
        </w:drawing>
      </w:r>
    </w:p>
    <w:p w14:paraId="568C6C9C" w14:textId="395A6755" w:rsidR="004404F1" w:rsidRPr="00062A9C" w:rsidRDefault="004404F1" w:rsidP="004404F1">
      <w:pPr>
        <w:pStyle w:val="Figures"/>
      </w:pPr>
      <w:bookmarkStart w:id="29" w:name="_Ref127201835"/>
      <w:r>
        <w:t xml:space="preserve">Figure </w:t>
      </w:r>
      <w:fldSimple w:instr=" SEQ Figure \* ARABIC ">
        <w:r w:rsidR="00B11BFB">
          <w:rPr>
            <w:noProof/>
          </w:rPr>
          <w:t>17</w:t>
        </w:r>
      </w:fldSimple>
      <w:bookmarkEnd w:id="29"/>
      <w:r w:rsidR="00683164">
        <w:t>.-</w:t>
      </w:r>
      <w:r>
        <w:t xml:space="preserve"> </w:t>
      </w:r>
      <w:r w:rsidRPr="00062A9C">
        <w:t xml:space="preserve">Importance of the encoder </w:t>
      </w:r>
      <w:r w:rsidR="003A4ED4">
        <w:t>predictor features</w:t>
      </w:r>
      <w:r w:rsidRPr="00062A9C">
        <w:t xml:space="preserve">. </w:t>
      </w:r>
      <w:r>
        <w:t>Operation</w:t>
      </w:r>
      <w:r w:rsidRPr="00062A9C">
        <w:t xml:space="preserve"> is the most critical </w:t>
      </w:r>
      <w:r w:rsidR="003A4ED4">
        <w:t>predictor feature</w:t>
      </w:r>
      <w:r w:rsidRPr="00062A9C">
        <w:t xml:space="preserve">, followed by the </w:t>
      </w:r>
      <w:r>
        <w:t>proposed location predictor feature</w:t>
      </w:r>
      <w:r w:rsidRPr="00062A9C">
        <w:t>.</w:t>
      </w:r>
    </w:p>
    <w:p w14:paraId="642F92C2" w14:textId="6E7107D4" w:rsidR="004404F1" w:rsidRPr="00062A9C" w:rsidRDefault="004404F1" w:rsidP="004404F1">
      <w:r w:rsidRPr="00062A9C">
        <w:lastRenderedPageBreak/>
        <w:t xml:space="preserve">In </w:t>
      </w:r>
      <w:r>
        <w:fldChar w:fldCharType="begin"/>
      </w:r>
      <w:r>
        <w:instrText xml:space="preserve"> REF _Ref127201843 \h </w:instrText>
      </w:r>
      <w:r>
        <w:fldChar w:fldCharType="separate"/>
      </w:r>
      <w:r w:rsidR="00B11BFB">
        <w:t xml:space="preserve">Figure </w:t>
      </w:r>
      <w:r w:rsidR="00B11BFB">
        <w:rPr>
          <w:noProof/>
        </w:rPr>
        <w:t>18</w:t>
      </w:r>
      <w:r>
        <w:fldChar w:fldCharType="end"/>
      </w:r>
      <w:r w:rsidRPr="00062A9C">
        <w:t>, we show the</w:t>
      </w:r>
      <w:r>
        <w:t xml:space="preserve"> Shapley</w:t>
      </w:r>
      <w:r w:rsidRPr="00062A9C">
        <w:t xml:space="preserve"> importance of the decoder </w:t>
      </w:r>
      <w:r w:rsidR="00864CCE">
        <w:t>predictor features</w:t>
      </w:r>
      <w:r w:rsidRPr="00062A9C">
        <w:t xml:space="preserve">. The scheduled </w:t>
      </w:r>
      <w:r>
        <w:t>operation</w:t>
      </w:r>
      <w:r w:rsidRPr="00062A9C">
        <w:t xml:space="preserve"> is the most crucial predictor feature during the decoding step, </w:t>
      </w:r>
      <w:r>
        <w:t>creating</w:t>
      </w:r>
      <w:r w:rsidRPr="00062A9C">
        <w:t xml:space="preserve"> a sharp change in the </w:t>
      </w:r>
      <w:proofErr w:type="gramStart"/>
      <w:r w:rsidRPr="00062A9C">
        <w:t>forecasted</w:t>
      </w:r>
      <w:proofErr w:type="gramEnd"/>
      <w:r w:rsidRPr="00062A9C">
        <w:t xml:space="preserve"> rate. The following important </w:t>
      </w:r>
      <w:r w:rsidR="00F81196">
        <w:t>predictor feature</w:t>
      </w:r>
      <w:r w:rsidR="00F81196" w:rsidRPr="00062A9C">
        <w:t xml:space="preserve"> </w:t>
      </w:r>
      <w:r w:rsidRPr="00062A9C">
        <w:t>is permeability, which dominates the rate response.</w:t>
      </w:r>
      <w:r>
        <w:t xml:space="preserve"> </w:t>
      </w:r>
      <w:r w:rsidRPr="00062A9C">
        <w:t xml:space="preserve">In </w:t>
      </w:r>
      <w:r>
        <w:fldChar w:fldCharType="begin"/>
      </w:r>
      <w:r>
        <w:instrText xml:space="preserve"> REF _Ref127202050 \h </w:instrText>
      </w:r>
      <w:r>
        <w:fldChar w:fldCharType="separate"/>
      </w:r>
      <w:r w:rsidR="00B11BFB">
        <w:t xml:space="preserve">Table </w:t>
      </w:r>
      <w:r w:rsidR="00B11BFB">
        <w:rPr>
          <w:noProof/>
        </w:rPr>
        <w:t>3</w:t>
      </w:r>
      <w:r>
        <w:fldChar w:fldCharType="end"/>
      </w:r>
      <w:r w:rsidRPr="00062A9C">
        <w:t>, we include a summary of the error metrics for individual wells and field production.</w:t>
      </w:r>
    </w:p>
    <w:p w14:paraId="101E0082" w14:textId="2C8B852E" w:rsidR="004404F1" w:rsidRDefault="00701543" w:rsidP="004404F1">
      <w:pPr>
        <w:keepNext/>
        <w:jc w:val="center"/>
      </w:pPr>
      <w:r>
        <w:rPr>
          <w:noProof/>
        </w:rPr>
        <w:drawing>
          <wp:inline distT="0" distB="0" distL="0" distR="0" wp14:anchorId="68C287AF" wp14:editId="3D27DE4A">
            <wp:extent cx="4518837" cy="1657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8337" cy="1660874"/>
                    </a:xfrm>
                    <a:prstGeom prst="rect">
                      <a:avLst/>
                    </a:prstGeom>
                    <a:noFill/>
                    <a:ln>
                      <a:noFill/>
                    </a:ln>
                  </pic:spPr>
                </pic:pic>
              </a:graphicData>
            </a:graphic>
          </wp:inline>
        </w:drawing>
      </w:r>
    </w:p>
    <w:p w14:paraId="6A064182" w14:textId="741279A8" w:rsidR="004404F1" w:rsidRPr="00062A9C" w:rsidRDefault="004404F1" w:rsidP="003D0579">
      <w:pPr>
        <w:pStyle w:val="Caption"/>
      </w:pPr>
      <w:bookmarkStart w:id="30" w:name="_Ref127201843"/>
      <w:r>
        <w:t xml:space="preserve">Figure </w:t>
      </w:r>
      <w:fldSimple w:instr=" SEQ Figure \* ARABIC ">
        <w:r w:rsidR="00B11BFB">
          <w:rPr>
            <w:noProof/>
          </w:rPr>
          <w:t>18</w:t>
        </w:r>
      </w:fldSimple>
      <w:bookmarkEnd w:id="30"/>
      <w:r>
        <w:t xml:space="preserve"> - </w:t>
      </w:r>
      <w:r w:rsidRPr="00062A9C">
        <w:t xml:space="preserve">Importance of the decoder </w:t>
      </w:r>
      <w:r w:rsidR="006C6248">
        <w:t>predictor feature</w:t>
      </w:r>
      <w:r w:rsidRPr="00062A9C">
        <w:t>. The scheduled event is the most important predictor feature during the decoding process, followed by the permeability.</w:t>
      </w:r>
    </w:p>
    <w:p w14:paraId="0D0C009B" w14:textId="21167C8D" w:rsidR="004404F1" w:rsidRDefault="004404F1" w:rsidP="003D0579">
      <w:pPr>
        <w:pStyle w:val="Caption"/>
      </w:pPr>
      <w:bookmarkStart w:id="31" w:name="_Ref127202050"/>
      <w:r>
        <w:t xml:space="preserve">Table </w:t>
      </w:r>
      <w:fldSimple w:instr=" SEQ Table \* ARABIC ">
        <w:r w:rsidR="00B11BFB">
          <w:rPr>
            <w:noProof/>
          </w:rPr>
          <w:t>3</w:t>
        </w:r>
      </w:fldSimple>
      <w:bookmarkEnd w:id="31"/>
      <w:r w:rsidR="00B0419B">
        <w:rPr>
          <w:noProof/>
        </w:rPr>
        <w:t>.-</w:t>
      </w:r>
      <w:r w:rsidRPr="00062A9C">
        <w:t xml:space="preserve"> SMAPE and MAE for all wells in </w:t>
      </w:r>
      <w:r w:rsidR="00C670C5">
        <w:t>s</w:t>
      </w:r>
      <w:r w:rsidR="00524697">
        <w:t>cenario</w:t>
      </w:r>
      <w:r w:rsidRPr="00062A9C">
        <w:t xml:space="preserve"> </w:t>
      </w:r>
      <w:r w:rsidR="00524697">
        <w:t>A</w:t>
      </w:r>
      <w:r w:rsidRPr="00062A9C">
        <w:t xml:space="preserve"> using the TFT-based surrogate flow model.</w:t>
      </w:r>
    </w:p>
    <w:tbl>
      <w:tblPr>
        <w:tblStyle w:val="TableGrid"/>
        <w:tblW w:w="0" w:type="auto"/>
        <w:jc w:val="center"/>
        <w:tblLook w:val="04A0" w:firstRow="1" w:lastRow="0" w:firstColumn="1" w:lastColumn="0" w:noHBand="0" w:noVBand="1"/>
      </w:tblPr>
      <w:tblGrid>
        <w:gridCol w:w="3116"/>
        <w:gridCol w:w="3117"/>
      </w:tblGrid>
      <w:tr w:rsidR="004404F1" w:rsidRPr="00062A9C" w14:paraId="66F76802" w14:textId="77777777" w:rsidTr="0033329D">
        <w:trPr>
          <w:jc w:val="center"/>
        </w:trPr>
        <w:tc>
          <w:tcPr>
            <w:tcW w:w="6233" w:type="dxa"/>
            <w:gridSpan w:val="2"/>
            <w:vAlign w:val="center"/>
          </w:tcPr>
          <w:p w14:paraId="207FEEC3" w14:textId="1AF7D8FF" w:rsidR="004404F1" w:rsidRPr="00062A9C" w:rsidRDefault="00524697" w:rsidP="0033329D">
            <w:pPr>
              <w:jc w:val="center"/>
              <w:rPr>
                <w:b/>
              </w:rPr>
            </w:pPr>
            <w:r>
              <w:rPr>
                <w:b/>
              </w:rPr>
              <w:t>Scenario A</w:t>
            </w:r>
          </w:p>
        </w:tc>
      </w:tr>
      <w:tr w:rsidR="004404F1" w:rsidRPr="00062A9C" w14:paraId="6D3C3E97" w14:textId="77777777" w:rsidTr="0033329D">
        <w:trPr>
          <w:jc w:val="center"/>
        </w:trPr>
        <w:tc>
          <w:tcPr>
            <w:tcW w:w="3116" w:type="dxa"/>
          </w:tcPr>
          <w:p w14:paraId="3C5E0545" w14:textId="77777777" w:rsidR="004404F1" w:rsidRPr="00062A9C" w:rsidRDefault="004404F1" w:rsidP="0033329D">
            <w:r w:rsidRPr="00062A9C">
              <w:t>Metric</w:t>
            </w:r>
          </w:p>
        </w:tc>
        <w:tc>
          <w:tcPr>
            <w:tcW w:w="3117" w:type="dxa"/>
            <w:vAlign w:val="center"/>
          </w:tcPr>
          <w:p w14:paraId="7DFCFB29" w14:textId="77777777" w:rsidR="004404F1" w:rsidRPr="00062A9C" w:rsidRDefault="004404F1" w:rsidP="0033329D">
            <w:pPr>
              <w:jc w:val="center"/>
            </w:pPr>
            <w:r w:rsidRPr="00062A9C">
              <w:t>Value</w:t>
            </w:r>
          </w:p>
        </w:tc>
      </w:tr>
      <w:tr w:rsidR="004404F1" w:rsidRPr="00062A9C" w14:paraId="641E5DC3" w14:textId="77777777" w:rsidTr="0033329D">
        <w:trPr>
          <w:jc w:val="center"/>
        </w:trPr>
        <w:tc>
          <w:tcPr>
            <w:tcW w:w="3116" w:type="dxa"/>
          </w:tcPr>
          <w:p w14:paraId="3B3A19DF" w14:textId="77777777" w:rsidR="004404F1" w:rsidRPr="00062A9C" w:rsidRDefault="004404F1" w:rsidP="0033329D">
            <w:r w:rsidRPr="00062A9C">
              <w:t>Benchmark MAE</w:t>
            </w:r>
          </w:p>
        </w:tc>
        <w:tc>
          <w:tcPr>
            <w:tcW w:w="3117" w:type="dxa"/>
            <w:vAlign w:val="center"/>
          </w:tcPr>
          <w:p w14:paraId="3EFF52F5" w14:textId="77777777" w:rsidR="004404F1" w:rsidRPr="00062A9C" w:rsidRDefault="004404F1" w:rsidP="0033329D">
            <w:pPr>
              <w:jc w:val="center"/>
            </w:pPr>
            <w:r w:rsidRPr="00062A9C">
              <w:t xml:space="preserve">28.6119 </w:t>
            </w:r>
            <m:oMath>
              <m:r>
                <w:rPr>
                  <w:rFonts w:ascii="Cambria Math" w:hAnsi="Cambria Math"/>
                </w:rPr>
                <m:t>bl</m:t>
              </m:r>
            </m:oMath>
          </w:p>
        </w:tc>
      </w:tr>
      <w:tr w:rsidR="004404F1" w:rsidRPr="00062A9C" w14:paraId="0265F9BB" w14:textId="77777777" w:rsidTr="0033329D">
        <w:trPr>
          <w:jc w:val="center"/>
        </w:trPr>
        <w:tc>
          <w:tcPr>
            <w:tcW w:w="3116" w:type="dxa"/>
          </w:tcPr>
          <w:p w14:paraId="7BFFFD18" w14:textId="77777777" w:rsidR="004404F1" w:rsidRPr="00062A9C" w:rsidRDefault="004404F1" w:rsidP="0033329D">
            <w:r w:rsidRPr="00062A9C">
              <w:t>Benchmark SMAPE</w:t>
            </w:r>
          </w:p>
        </w:tc>
        <w:tc>
          <w:tcPr>
            <w:tcW w:w="3117" w:type="dxa"/>
            <w:vAlign w:val="center"/>
          </w:tcPr>
          <w:p w14:paraId="269D7A35" w14:textId="77777777" w:rsidR="004404F1" w:rsidRPr="00062A9C" w:rsidRDefault="004404F1" w:rsidP="0033329D">
            <w:pPr>
              <w:jc w:val="center"/>
            </w:pPr>
            <w:r w:rsidRPr="00062A9C">
              <w:t>2.8 %</w:t>
            </w:r>
          </w:p>
        </w:tc>
      </w:tr>
      <w:tr w:rsidR="004404F1" w:rsidRPr="00062A9C" w14:paraId="2EFAC45E" w14:textId="77777777" w:rsidTr="0033329D">
        <w:trPr>
          <w:jc w:val="center"/>
        </w:trPr>
        <w:tc>
          <w:tcPr>
            <w:tcW w:w="3116" w:type="dxa"/>
          </w:tcPr>
          <w:p w14:paraId="1D2A306F" w14:textId="77777777" w:rsidR="004404F1" w:rsidRPr="00062A9C" w:rsidRDefault="004404F1" w:rsidP="0033329D">
            <w:r w:rsidRPr="00062A9C">
              <w:t>MAE</w:t>
            </w:r>
          </w:p>
        </w:tc>
        <w:tc>
          <w:tcPr>
            <w:tcW w:w="3117" w:type="dxa"/>
            <w:vAlign w:val="center"/>
          </w:tcPr>
          <w:p w14:paraId="7690E053" w14:textId="77777777" w:rsidR="004404F1" w:rsidRPr="00062A9C" w:rsidRDefault="004404F1" w:rsidP="0033329D">
            <w:pPr>
              <w:jc w:val="center"/>
            </w:pPr>
            <w:r w:rsidRPr="00062A9C">
              <w:t xml:space="preserve">15.81 </w:t>
            </w:r>
            <m:oMath>
              <m:r>
                <w:rPr>
                  <w:rFonts w:ascii="Cambria Math" w:hAnsi="Cambria Math"/>
                </w:rPr>
                <m:t>bl</m:t>
              </m:r>
            </m:oMath>
          </w:p>
        </w:tc>
      </w:tr>
      <w:tr w:rsidR="004404F1" w:rsidRPr="00062A9C" w14:paraId="116FAED4" w14:textId="77777777" w:rsidTr="0033329D">
        <w:trPr>
          <w:jc w:val="center"/>
        </w:trPr>
        <w:tc>
          <w:tcPr>
            <w:tcW w:w="3116" w:type="dxa"/>
          </w:tcPr>
          <w:p w14:paraId="654C197F" w14:textId="77777777" w:rsidR="004404F1" w:rsidRPr="00062A9C" w:rsidRDefault="004404F1" w:rsidP="0033329D">
            <w:r w:rsidRPr="00062A9C">
              <w:t>SMAPE</w:t>
            </w:r>
          </w:p>
        </w:tc>
        <w:tc>
          <w:tcPr>
            <w:tcW w:w="3117" w:type="dxa"/>
            <w:vAlign w:val="center"/>
          </w:tcPr>
          <w:p w14:paraId="337B04B0" w14:textId="77777777" w:rsidR="004404F1" w:rsidRPr="00062A9C" w:rsidRDefault="004404F1" w:rsidP="0033329D">
            <w:pPr>
              <w:jc w:val="center"/>
            </w:pPr>
            <w:r w:rsidRPr="00062A9C">
              <w:t>0.75 %</w:t>
            </w:r>
          </w:p>
        </w:tc>
      </w:tr>
    </w:tbl>
    <w:p w14:paraId="0492BB28" w14:textId="77777777" w:rsidR="004404F1" w:rsidRPr="00446B99" w:rsidRDefault="004404F1" w:rsidP="003D0579">
      <w:pPr>
        <w:pStyle w:val="Caption"/>
      </w:pPr>
      <w:r>
        <w:br w:type="page"/>
      </w:r>
    </w:p>
    <w:p w14:paraId="0C22B398" w14:textId="503FBC82" w:rsidR="003D66DC" w:rsidRDefault="003D66DC" w:rsidP="003D66DC">
      <w:pPr>
        <w:pStyle w:val="Heading2"/>
      </w:pPr>
      <w:r>
        <w:lastRenderedPageBreak/>
        <w:t xml:space="preserve">Evaluation of </w:t>
      </w:r>
      <w:r w:rsidR="00170D38">
        <w:t>scenario B</w:t>
      </w:r>
    </w:p>
    <w:p w14:paraId="2A507B54" w14:textId="465933A5" w:rsidR="004C468B" w:rsidRDefault="00064E07" w:rsidP="003749D5">
      <w:r>
        <w:t xml:space="preserve">In </w:t>
      </w:r>
      <w:r w:rsidR="00170D38">
        <w:t>scenario B</w:t>
      </w:r>
      <w:r w:rsidR="00B631BE">
        <w:t>,</w:t>
      </w:r>
      <w:r>
        <w:t xml:space="preserve"> t</w:t>
      </w:r>
      <w:r w:rsidR="003749D5" w:rsidRPr="00062A9C">
        <w:t>he rate measurements</w:t>
      </w:r>
      <w:r w:rsidR="00166319">
        <w:t xml:space="preserve"> from the dataset</w:t>
      </w:r>
      <w:r w:rsidR="003749D5" w:rsidRPr="00062A9C">
        <w:t xml:space="preserve"> contain Gaussian random noise to show that </w:t>
      </w:r>
      <w:r w:rsidR="003749D5">
        <w:t>interpretability</w:t>
      </w:r>
      <w:r w:rsidR="003749D5" w:rsidRPr="00062A9C">
        <w:t xml:space="preserve"> </w:t>
      </w:r>
      <w:r w:rsidR="003749D5">
        <w:t>is not affected by noise from the measurements, thus increasing the applicability</w:t>
      </w:r>
      <w:r w:rsidR="003749D5" w:rsidRPr="00062A9C">
        <w:t xml:space="preserve"> </w:t>
      </w:r>
      <w:r w:rsidR="003749D5">
        <w:t xml:space="preserve">of the workflow </w:t>
      </w:r>
      <w:r w:rsidR="003749D5" w:rsidRPr="00062A9C">
        <w:t>to real-world scenarios.</w:t>
      </w:r>
      <w:r w:rsidR="00497564">
        <w:t xml:space="preserve"> W</w:t>
      </w:r>
      <w:r w:rsidR="00497564" w:rsidRPr="00062A9C">
        <w:t xml:space="preserve">e use the last 180 days from the </w:t>
      </w:r>
      <w:r w:rsidR="00497564">
        <w:t>production history as testing data and the rest as training data</w:t>
      </w:r>
      <w:r w:rsidR="00BB2D15">
        <w:t>.</w:t>
      </w:r>
      <w:r w:rsidR="00C82334">
        <w:t xml:space="preserve"> </w:t>
      </w:r>
      <w:r w:rsidR="00E622A9">
        <w:fldChar w:fldCharType="begin"/>
      </w:r>
      <w:r w:rsidR="00E622A9">
        <w:instrText xml:space="preserve"> REF _Ref129119138 \h </w:instrText>
      </w:r>
      <w:r w:rsidR="00E622A9">
        <w:fldChar w:fldCharType="separate"/>
      </w:r>
      <w:r w:rsidR="00E622A9">
        <w:t xml:space="preserve">Table </w:t>
      </w:r>
      <w:r w:rsidR="00E622A9">
        <w:rPr>
          <w:noProof/>
        </w:rPr>
        <w:t>4</w:t>
      </w:r>
      <w:r w:rsidR="00E622A9">
        <w:fldChar w:fldCharType="end"/>
      </w:r>
      <w:r w:rsidR="00C646F6" w:rsidRPr="00062A9C">
        <w:t xml:space="preserve"> summarizes the hyperparameters selected for the TFT-based surrogate flow model</w:t>
      </w:r>
      <w:r w:rsidR="00C646F6">
        <w:t xml:space="preserve"> used for </w:t>
      </w:r>
      <w:r w:rsidR="00170D38">
        <w:t>scenario B</w:t>
      </w:r>
      <w:r w:rsidR="00522BA8">
        <w:t>.</w:t>
      </w:r>
      <w:r w:rsidR="003749D5">
        <w:t xml:space="preserve"> </w:t>
      </w:r>
    </w:p>
    <w:p w14:paraId="6C980654" w14:textId="3129869F" w:rsidR="0033349B" w:rsidRDefault="0033349B" w:rsidP="003D0579">
      <w:pPr>
        <w:pStyle w:val="Caption"/>
      </w:pPr>
      <w:bookmarkStart w:id="32" w:name="_Ref129119138"/>
      <w:r>
        <w:t xml:space="preserve">Table </w:t>
      </w:r>
      <w:fldSimple w:instr=" SEQ Table \* ARABIC ">
        <w:r w:rsidR="00B11BFB">
          <w:rPr>
            <w:noProof/>
          </w:rPr>
          <w:t>4</w:t>
        </w:r>
      </w:fldSimple>
      <w:bookmarkEnd w:id="32"/>
      <w:r w:rsidR="00522360">
        <w:rPr>
          <w:noProof/>
        </w:rPr>
        <w:t xml:space="preserve">.- </w:t>
      </w:r>
      <w:r w:rsidRPr="0023367D">
        <w:rPr>
          <w:noProof/>
        </w:rPr>
        <w:t>Hyperparameters used for the TFT-based surrogate flow model</w:t>
      </w:r>
      <w:r>
        <w:rPr>
          <w:noProof/>
        </w:rPr>
        <w:t xml:space="preserve"> for </w:t>
      </w:r>
      <w:r w:rsidR="00170D38">
        <w:rPr>
          <w:noProof/>
        </w:rPr>
        <w:t>scenario B</w:t>
      </w:r>
      <w:r w:rsidRPr="0023367D">
        <w:rPr>
          <w:noProof/>
        </w:rPr>
        <w:t>.</w:t>
      </w:r>
    </w:p>
    <w:tbl>
      <w:tblPr>
        <w:tblStyle w:val="TableGrid"/>
        <w:tblW w:w="0" w:type="auto"/>
        <w:tblLook w:val="04A0" w:firstRow="1" w:lastRow="0" w:firstColumn="1" w:lastColumn="0" w:noHBand="0" w:noVBand="1"/>
      </w:tblPr>
      <w:tblGrid>
        <w:gridCol w:w="4675"/>
        <w:gridCol w:w="4675"/>
      </w:tblGrid>
      <w:tr w:rsidR="0033349B" w:rsidRPr="00062A9C" w14:paraId="1C154CA8" w14:textId="77777777" w:rsidTr="0033329D">
        <w:tc>
          <w:tcPr>
            <w:tcW w:w="4675" w:type="dxa"/>
          </w:tcPr>
          <w:p w14:paraId="1F37A2ED" w14:textId="77777777" w:rsidR="0033349B" w:rsidRPr="008C473C" w:rsidRDefault="0033349B" w:rsidP="0033329D">
            <w:pPr>
              <w:pStyle w:val="Figures"/>
              <w:rPr>
                <w:b/>
                <w:bCs/>
              </w:rPr>
            </w:pPr>
            <w:r w:rsidRPr="008C473C">
              <w:rPr>
                <w:b/>
                <w:bCs/>
              </w:rPr>
              <w:t>Hyperparameter</w:t>
            </w:r>
          </w:p>
        </w:tc>
        <w:tc>
          <w:tcPr>
            <w:tcW w:w="4675" w:type="dxa"/>
          </w:tcPr>
          <w:p w14:paraId="347232D8" w14:textId="77777777" w:rsidR="0033349B" w:rsidRPr="008C473C" w:rsidRDefault="0033349B" w:rsidP="0033329D">
            <w:pPr>
              <w:pStyle w:val="Figures"/>
              <w:rPr>
                <w:b/>
                <w:bCs/>
              </w:rPr>
            </w:pPr>
            <w:r w:rsidRPr="008C473C">
              <w:rPr>
                <w:b/>
                <w:bCs/>
              </w:rPr>
              <w:t>Value</w:t>
            </w:r>
          </w:p>
        </w:tc>
      </w:tr>
      <w:tr w:rsidR="0033349B" w:rsidRPr="00062A9C" w14:paraId="195C548C" w14:textId="77777777" w:rsidTr="0033329D">
        <w:tc>
          <w:tcPr>
            <w:tcW w:w="4675" w:type="dxa"/>
          </w:tcPr>
          <w:p w14:paraId="782A87BE" w14:textId="77777777" w:rsidR="0033349B" w:rsidRPr="00062A9C" w:rsidRDefault="0033349B" w:rsidP="0033329D">
            <w:pPr>
              <w:pStyle w:val="Figures"/>
            </w:pPr>
            <w:proofErr w:type="spellStart"/>
            <w:r w:rsidRPr="00062A9C">
              <w:t>gradient_clip_val</w:t>
            </w:r>
            <w:proofErr w:type="spellEnd"/>
          </w:p>
        </w:tc>
        <w:tc>
          <w:tcPr>
            <w:tcW w:w="4675" w:type="dxa"/>
          </w:tcPr>
          <w:p w14:paraId="12A68581" w14:textId="77777777" w:rsidR="0033349B" w:rsidRPr="00062A9C" w:rsidRDefault="0033349B" w:rsidP="0033329D">
            <w:pPr>
              <w:pStyle w:val="Figures"/>
            </w:pPr>
            <w:r w:rsidRPr="00062A9C">
              <w:t>0.9</w:t>
            </w:r>
            <w:r w:rsidR="0094217B">
              <w:t>7</w:t>
            </w:r>
            <w:r w:rsidRPr="00062A9C">
              <w:t>39</w:t>
            </w:r>
          </w:p>
        </w:tc>
      </w:tr>
      <w:tr w:rsidR="0033349B" w:rsidRPr="00062A9C" w14:paraId="5E67E552" w14:textId="77777777" w:rsidTr="0033329D">
        <w:tc>
          <w:tcPr>
            <w:tcW w:w="4675" w:type="dxa"/>
          </w:tcPr>
          <w:p w14:paraId="0624388F" w14:textId="77777777" w:rsidR="0033349B" w:rsidRPr="00062A9C" w:rsidRDefault="0033349B" w:rsidP="0033329D">
            <w:pPr>
              <w:pStyle w:val="Figures"/>
            </w:pPr>
            <w:proofErr w:type="spellStart"/>
            <w:r w:rsidRPr="00062A9C">
              <w:t>hidden_size</w:t>
            </w:r>
            <w:proofErr w:type="spellEnd"/>
          </w:p>
        </w:tc>
        <w:tc>
          <w:tcPr>
            <w:tcW w:w="4675" w:type="dxa"/>
          </w:tcPr>
          <w:p w14:paraId="369A742E" w14:textId="77777777" w:rsidR="0033349B" w:rsidRPr="00062A9C" w:rsidRDefault="0033349B" w:rsidP="0033329D">
            <w:pPr>
              <w:pStyle w:val="Figures"/>
            </w:pPr>
            <w:r w:rsidRPr="00062A9C">
              <w:t>9</w:t>
            </w:r>
            <w:r w:rsidR="0094217B">
              <w:t>5</w:t>
            </w:r>
          </w:p>
        </w:tc>
      </w:tr>
      <w:tr w:rsidR="0033349B" w:rsidRPr="00062A9C" w14:paraId="277167DC" w14:textId="77777777" w:rsidTr="0033329D">
        <w:tc>
          <w:tcPr>
            <w:tcW w:w="4675" w:type="dxa"/>
          </w:tcPr>
          <w:p w14:paraId="52D5681C" w14:textId="77777777" w:rsidR="0033349B" w:rsidRPr="00062A9C" w:rsidRDefault="0033349B" w:rsidP="0033329D">
            <w:pPr>
              <w:pStyle w:val="Figures"/>
            </w:pPr>
            <w:r w:rsidRPr="00062A9C">
              <w:t>dropout</w:t>
            </w:r>
          </w:p>
        </w:tc>
        <w:tc>
          <w:tcPr>
            <w:tcW w:w="4675" w:type="dxa"/>
          </w:tcPr>
          <w:p w14:paraId="6007D489" w14:textId="77777777" w:rsidR="0033349B" w:rsidRPr="00062A9C" w:rsidRDefault="0033349B" w:rsidP="0033329D">
            <w:pPr>
              <w:pStyle w:val="Figures"/>
            </w:pPr>
            <w:r w:rsidRPr="00062A9C">
              <w:t>0.17</w:t>
            </w:r>
            <w:r w:rsidR="0094217B">
              <w:t>1</w:t>
            </w:r>
            <w:r w:rsidRPr="00062A9C">
              <w:t>7</w:t>
            </w:r>
            <w:r w:rsidR="0094217B">
              <w:t>2</w:t>
            </w:r>
            <w:r w:rsidRPr="00062A9C">
              <w:t>5</w:t>
            </w:r>
          </w:p>
        </w:tc>
      </w:tr>
      <w:tr w:rsidR="0033349B" w:rsidRPr="00062A9C" w14:paraId="254B7DBB" w14:textId="77777777" w:rsidTr="0033329D">
        <w:tc>
          <w:tcPr>
            <w:tcW w:w="4675" w:type="dxa"/>
          </w:tcPr>
          <w:p w14:paraId="44AA1F77" w14:textId="77777777" w:rsidR="0033349B" w:rsidRPr="00062A9C" w:rsidRDefault="0033349B" w:rsidP="0033329D">
            <w:pPr>
              <w:pStyle w:val="Figures"/>
            </w:pPr>
            <w:proofErr w:type="spellStart"/>
            <w:r w:rsidRPr="00062A9C">
              <w:t>hidden_continuous_size</w:t>
            </w:r>
            <w:proofErr w:type="spellEnd"/>
          </w:p>
        </w:tc>
        <w:tc>
          <w:tcPr>
            <w:tcW w:w="4675" w:type="dxa"/>
          </w:tcPr>
          <w:p w14:paraId="4D85E914" w14:textId="77777777" w:rsidR="0033349B" w:rsidRPr="00062A9C" w:rsidRDefault="0094217B" w:rsidP="0033329D">
            <w:pPr>
              <w:pStyle w:val="Figures"/>
            </w:pPr>
            <w:r>
              <w:t>70</w:t>
            </w:r>
          </w:p>
        </w:tc>
      </w:tr>
      <w:tr w:rsidR="0033349B" w:rsidRPr="00062A9C" w14:paraId="2EEF391D" w14:textId="77777777" w:rsidTr="0033329D">
        <w:tc>
          <w:tcPr>
            <w:tcW w:w="4675" w:type="dxa"/>
          </w:tcPr>
          <w:p w14:paraId="5C234420" w14:textId="77777777" w:rsidR="0033349B" w:rsidRPr="00062A9C" w:rsidRDefault="0033349B" w:rsidP="0033329D">
            <w:pPr>
              <w:pStyle w:val="Figures"/>
            </w:pPr>
            <w:proofErr w:type="spellStart"/>
            <w:r w:rsidRPr="00062A9C">
              <w:t>attention_head_size</w:t>
            </w:r>
            <w:proofErr w:type="spellEnd"/>
          </w:p>
        </w:tc>
        <w:tc>
          <w:tcPr>
            <w:tcW w:w="4675" w:type="dxa"/>
          </w:tcPr>
          <w:p w14:paraId="4FF96D9E" w14:textId="77777777" w:rsidR="0033349B" w:rsidRPr="00062A9C" w:rsidRDefault="0033349B" w:rsidP="0033329D">
            <w:pPr>
              <w:pStyle w:val="Figures"/>
            </w:pPr>
            <w:r w:rsidRPr="00062A9C">
              <w:t>2</w:t>
            </w:r>
          </w:p>
        </w:tc>
      </w:tr>
      <w:tr w:rsidR="0033349B" w:rsidRPr="00062A9C" w14:paraId="4747881C" w14:textId="77777777" w:rsidTr="0033329D">
        <w:tc>
          <w:tcPr>
            <w:tcW w:w="4675" w:type="dxa"/>
          </w:tcPr>
          <w:p w14:paraId="2A6EEAE6" w14:textId="77777777" w:rsidR="0033349B" w:rsidRPr="00062A9C" w:rsidRDefault="0033349B" w:rsidP="0033329D">
            <w:pPr>
              <w:pStyle w:val="Figures"/>
            </w:pPr>
            <w:proofErr w:type="spellStart"/>
            <w:r w:rsidRPr="00062A9C">
              <w:t>learning_rate</w:t>
            </w:r>
            <w:proofErr w:type="spellEnd"/>
          </w:p>
        </w:tc>
        <w:tc>
          <w:tcPr>
            <w:tcW w:w="4675" w:type="dxa"/>
          </w:tcPr>
          <w:p w14:paraId="7C363977" w14:textId="77777777" w:rsidR="0033349B" w:rsidRPr="00062A9C" w:rsidRDefault="0033349B" w:rsidP="0033329D">
            <w:pPr>
              <w:pStyle w:val="Figures"/>
            </w:pPr>
            <w:r w:rsidRPr="00062A9C">
              <w:t>0.01</w:t>
            </w:r>
            <w:r w:rsidR="0094217B">
              <w:t>2</w:t>
            </w:r>
            <w:r w:rsidRPr="00062A9C">
              <w:t>66</w:t>
            </w:r>
            <w:r w:rsidR="0094217B">
              <w:t>315</w:t>
            </w:r>
          </w:p>
        </w:tc>
      </w:tr>
      <w:tr w:rsidR="0033349B" w:rsidRPr="00062A9C" w14:paraId="05F8F17C" w14:textId="77777777" w:rsidTr="0033329D">
        <w:tc>
          <w:tcPr>
            <w:tcW w:w="4675" w:type="dxa"/>
          </w:tcPr>
          <w:p w14:paraId="1E3D7A02" w14:textId="77777777" w:rsidR="0033349B" w:rsidRPr="00062A9C" w:rsidRDefault="0033349B" w:rsidP="0033329D">
            <w:pPr>
              <w:pStyle w:val="Figures"/>
            </w:pPr>
            <w:r w:rsidRPr="00062A9C">
              <w:t>epochs</w:t>
            </w:r>
          </w:p>
        </w:tc>
        <w:tc>
          <w:tcPr>
            <w:tcW w:w="4675" w:type="dxa"/>
          </w:tcPr>
          <w:p w14:paraId="377E5E6B" w14:textId="77777777" w:rsidR="0033349B" w:rsidRPr="00062A9C" w:rsidRDefault="0033349B" w:rsidP="0033329D">
            <w:pPr>
              <w:pStyle w:val="Figures"/>
            </w:pPr>
            <w:r w:rsidRPr="00062A9C">
              <w:t>100</w:t>
            </w:r>
          </w:p>
        </w:tc>
      </w:tr>
    </w:tbl>
    <w:p w14:paraId="3A54E7E1" w14:textId="77777777" w:rsidR="004C468B" w:rsidRDefault="004C468B" w:rsidP="003749D5"/>
    <w:p w14:paraId="665087AA" w14:textId="61AE1760" w:rsidR="003749D5" w:rsidRPr="00062A9C" w:rsidRDefault="00064E07" w:rsidP="003749D5">
      <w:r>
        <w:t>W</w:t>
      </w:r>
      <w:r w:rsidR="003749D5" w:rsidRPr="00062A9C">
        <w:t>e select Well #</w:t>
      </w:r>
      <w:r w:rsidR="003105B5">
        <w:t>5</w:t>
      </w:r>
      <w:r w:rsidR="003749D5" w:rsidRPr="00062A9C">
        <w:t xml:space="preserve"> </w:t>
      </w:r>
      <w:r w:rsidR="003749D5">
        <w:t>to generate</w:t>
      </w:r>
      <w:r w:rsidR="003749D5" w:rsidRPr="00062A9C">
        <w:t xml:space="preserve"> </w:t>
      </w:r>
      <w:r w:rsidR="003749D5">
        <w:fldChar w:fldCharType="begin"/>
      </w:r>
      <w:r w:rsidR="003749D5">
        <w:instrText xml:space="preserve"> REF _Ref127201852 \h </w:instrText>
      </w:r>
      <w:r w:rsidR="003749D5">
        <w:fldChar w:fldCharType="separate"/>
      </w:r>
      <w:r w:rsidR="00B11BFB">
        <w:t xml:space="preserve">Figure </w:t>
      </w:r>
      <w:r w:rsidR="00B11BFB">
        <w:rPr>
          <w:noProof/>
        </w:rPr>
        <w:t>19</w:t>
      </w:r>
      <w:r w:rsidR="003749D5">
        <w:fldChar w:fldCharType="end"/>
      </w:r>
      <w:r w:rsidR="003749D5">
        <w:t>. In</w:t>
      </w:r>
      <w:r w:rsidR="003749D5" w:rsidRPr="00062A9C">
        <w:t xml:space="preserve"> subfigure a)</w:t>
      </w:r>
      <w:r w:rsidR="003749D5">
        <w:t>,</w:t>
      </w:r>
      <w:r w:rsidR="003749D5" w:rsidRPr="00062A9C">
        <w:t xml:space="preserve"> we present the maximum encoding and </w:t>
      </w:r>
      <w:r w:rsidR="00A83979">
        <w:t>decoder prediction length</w:t>
      </w:r>
      <w:r w:rsidR="003749D5" w:rsidRPr="00062A9C">
        <w:t xml:space="preserve"> from the production history</w:t>
      </w:r>
      <w:r w:rsidR="003749D5">
        <w:t xml:space="preserve"> at 1020 days and the forecasted rate by the TFT-based surrogate flow model</w:t>
      </w:r>
      <w:r w:rsidR="003749D5" w:rsidRPr="00062A9C">
        <w:t>. In subfigure b), we show the scheduled events of the dataset where there is an event during this time frame. In subfigure c), we include the</w:t>
      </w:r>
      <w:r w:rsidR="003749D5">
        <w:t xml:space="preserve"> Shapley</w:t>
      </w:r>
      <w:r w:rsidR="003749D5" w:rsidRPr="00062A9C">
        <w:t xml:space="preserve"> importance of the encoder. There is greater attention to past rates and the operation feature</w:t>
      </w:r>
      <w:r w:rsidR="00505E4B">
        <w:t>,</w:t>
      </w:r>
      <w:r w:rsidR="003749D5" w:rsidRPr="00062A9C">
        <w:t xml:space="preserve"> as observed in </w:t>
      </w:r>
      <w:r w:rsidR="00524697">
        <w:t>scenario</w:t>
      </w:r>
      <w:r w:rsidR="003749D5" w:rsidRPr="00062A9C">
        <w:t xml:space="preserve"> </w:t>
      </w:r>
      <w:r w:rsidR="00524697">
        <w:t>A</w:t>
      </w:r>
      <w:r w:rsidR="003749D5" w:rsidRPr="00062A9C">
        <w:t xml:space="preserve">. In subfigure d), we show the importance of the decoder, where operation becomes the most important </w:t>
      </w:r>
      <w:r w:rsidR="003749D5" w:rsidRPr="00062A9C">
        <w:lastRenderedPageBreak/>
        <w:t xml:space="preserve">feature during decoding, followed by permeability, which dominates the flow rate. </w:t>
      </w:r>
      <w:r w:rsidR="003749D5">
        <w:fldChar w:fldCharType="begin"/>
      </w:r>
      <w:r w:rsidR="003749D5">
        <w:instrText xml:space="preserve"> REF _Ref127201852 \h </w:instrText>
      </w:r>
      <w:r w:rsidR="003749D5">
        <w:fldChar w:fldCharType="separate"/>
      </w:r>
      <w:r w:rsidR="00B11BFB">
        <w:t xml:space="preserve">Figure </w:t>
      </w:r>
      <w:r w:rsidR="00B11BFB">
        <w:rPr>
          <w:noProof/>
        </w:rPr>
        <w:t>19</w:t>
      </w:r>
      <w:r w:rsidR="003749D5">
        <w:fldChar w:fldCharType="end"/>
      </w:r>
      <w:r w:rsidR="003749D5" w:rsidRPr="00062A9C">
        <w:t xml:space="preserve"> shows that the</w:t>
      </w:r>
      <w:r w:rsidR="003749D5">
        <w:t xml:space="preserve"> Shapley</w:t>
      </w:r>
      <w:r w:rsidR="003749D5" w:rsidRPr="00062A9C">
        <w:t xml:space="preserve"> predictor feature importance is consistent in the presence of noisy data. </w:t>
      </w:r>
      <w:r w:rsidR="00072CF4">
        <w:fldChar w:fldCharType="begin"/>
      </w:r>
      <w:r w:rsidR="00072CF4">
        <w:instrText xml:space="preserve"> REF _Ref129111817 \h </w:instrText>
      </w:r>
      <w:r w:rsidR="00072CF4">
        <w:fldChar w:fldCharType="separate"/>
      </w:r>
      <w:r w:rsidR="00B11BFB">
        <w:t xml:space="preserve">Figure </w:t>
      </w:r>
      <w:r w:rsidR="00B11BFB">
        <w:rPr>
          <w:noProof/>
        </w:rPr>
        <w:t>20</w:t>
      </w:r>
      <w:r w:rsidR="00072CF4">
        <w:fldChar w:fldCharType="end"/>
      </w:r>
      <w:r w:rsidR="00072CF4">
        <w:t xml:space="preserve"> presents the IQR</w:t>
      </w:r>
      <w:r w:rsidR="005B7190">
        <w:t xml:space="preserve"> </w:t>
      </w:r>
      <w:r w:rsidR="00B36709">
        <w:t>at every time step for the case presented</w:t>
      </w:r>
      <w:r w:rsidR="00F068F3">
        <w:t>. W</w:t>
      </w:r>
      <w:r w:rsidR="00B773E7">
        <w:t xml:space="preserve">e observe that the IQR does not change in the presence of noisy </w:t>
      </w:r>
      <w:r w:rsidR="00F925C1">
        <w:t>measurements</w:t>
      </w:r>
      <w:r w:rsidR="003749D5" w:rsidRPr="00062A9C">
        <w:t xml:space="preserve">. </w:t>
      </w:r>
      <w:r w:rsidR="003749D5">
        <w:fldChar w:fldCharType="begin"/>
      </w:r>
      <w:r w:rsidR="003749D5">
        <w:instrText xml:space="preserve"> REF _Ref127202150 \h </w:instrText>
      </w:r>
      <w:r w:rsidR="003749D5">
        <w:fldChar w:fldCharType="separate"/>
      </w:r>
      <w:r w:rsidR="00B11BFB">
        <w:t xml:space="preserve">Table </w:t>
      </w:r>
      <w:r w:rsidR="00B11BFB">
        <w:rPr>
          <w:noProof/>
        </w:rPr>
        <w:t>5</w:t>
      </w:r>
      <w:r w:rsidR="003749D5">
        <w:fldChar w:fldCharType="end"/>
      </w:r>
      <w:r w:rsidR="003749D5" w:rsidRPr="00062A9C">
        <w:t xml:space="preserve"> summarizes the error metrics for individual wells and field production.</w:t>
      </w:r>
      <w:r w:rsidR="003749D5">
        <w:t xml:space="preserve"> </w:t>
      </w:r>
      <w:r w:rsidR="003749D5" w:rsidRPr="00062A9C">
        <w:t xml:space="preserve">We complement our results with </w:t>
      </w:r>
      <w:r w:rsidR="003749D5">
        <w:fldChar w:fldCharType="begin"/>
      </w:r>
      <w:r w:rsidR="003749D5">
        <w:instrText xml:space="preserve"> REF _Ref127201861 \h </w:instrText>
      </w:r>
      <w:r w:rsidR="003749D5">
        <w:fldChar w:fldCharType="separate"/>
      </w:r>
      <w:r w:rsidR="00B11BFB">
        <w:t xml:space="preserve">Figure </w:t>
      </w:r>
      <w:r w:rsidR="00B11BFB">
        <w:rPr>
          <w:noProof/>
        </w:rPr>
        <w:t>21</w:t>
      </w:r>
      <w:r w:rsidR="003749D5">
        <w:fldChar w:fldCharType="end"/>
      </w:r>
      <w:r w:rsidR="003749D5" w:rsidRPr="00062A9C">
        <w:t>, showing the attention</w:t>
      </w:r>
      <w:r w:rsidR="003749D5">
        <w:t xml:space="preserve"> head</w:t>
      </w:r>
      <w:r w:rsidR="003749D5" w:rsidRPr="00062A9C">
        <w:t xml:space="preserve"> weights in the presence of noisy data. We observe equal attention over steady periods and higher attention weights over scheduled events.</w:t>
      </w:r>
    </w:p>
    <w:p w14:paraId="3A71784C" w14:textId="2E7079D1" w:rsidR="009415DD" w:rsidRDefault="0050564A" w:rsidP="005F6F52">
      <w:pPr>
        <w:keepNext/>
        <w:jc w:val="center"/>
      </w:pPr>
      <w:r>
        <w:rPr>
          <w:noProof/>
        </w:rPr>
        <w:lastRenderedPageBreak/>
        <w:drawing>
          <wp:inline distT="0" distB="0" distL="0" distR="0" wp14:anchorId="5DF8CDA3" wp14:editId="7BB373DA">
            <wp:extent cx="5932805" cy="48907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805" cy="4890770"/>
                    </a:xfrm>
                    <a:prstGeom prst="rect">
                      <a:avLst/>
                    </a:prstGeom>
                    <a:noFill/>
                    <a:ln>
                      <a:noFill/>
                    </a:ln>
                  </pic:spPr>
                </pic:pic>
              </a:graphicData>
            </a:graphic>
          </wp:inline>
        </w:drawing>
      </w:r>
    </w:p>
    <w:p w14:paraId="2E20D8E6" w14:textId="50A96538" w:rsidR="00A246B3" w:rsidRDefault="009415DD" w:rsidP="003D0579">
      <w:pPr>
        <w:pStyle w:val="Caption"/>
      </w:pPr>
      <w:bookmarkStart w:id="33" w:name="_Ref127201852"/>
      <w:r>
        <w:t xml:space="preserve">Figure </w:t>
      </w:r>
      <w:fldSimple w:instr=" SEQ Figure \* ARABIC ">
        <w:r w:rsidR="00B11BFB">
          <w:rPr>
            <w:noProof/>
          </w:rPr>
          <w:t>19</w:t>
        </w:r>
      </w:fldSimple>
      <w:bookmarkEnd w:id="33"/>
      <w:r w:rsidRPr="00062A9C">
        <w:t>.- Forecasting using the TFT-based surrogate flow model for Well #</w:t>
      </w:r>
      <w:r w:rsidR="00F33D5E">
        <w:t>5</w:t>
      </w:r>
      <w:r w:rsidRPr="00062A9C">
        <w:t xml:space="preserve"> with scheduled events a) The black dashed line represents the start of the forecast. The red points are the forecasted data, and the black points are the measured values. In shadows of grey, we show the P10 and P90 confidence intervals. In subfigure b) we show the scheduled events of the dataset</w:t>
      </w:r>
      <w:r>
        <w:t>;</w:t>
      </w:r>
      <w:r w:rsidRPr="00062A9C">
        <w:t xml:space="preserve"> in subfigure c) we include the importance of the encoder and d) decoder predictor features.</w:t>
      </w:r>
    </w:p>
    <w:p w14:paraId="3D2DA880" w14:textId="77777777" w:rsidR="005F6F52" w:rsidRDefault="00A246B3" w:rsidP="003D0579">
      <w:pPr>
        <w:pStyle w:val="Caption"/>
      </w:pPr>
      <w:r>
        <w:rPr>
          <w:noProof/>
        </w:rPr>
        <w:lastRenderedPageBreak/>
        <w:drawing>
          <wp:inline distT="0" distB="0" distL="0" distR="0" wp14:anchorId="4782C864" wp14:editId="7F4E8FEC">
            <wp:extent cx="5936615" cy="2702560"/>
            <wp:effectExtent l="0" t="0" r="698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2702560"/>
                    </a:xfrm>
                    <a:prstGeom prst="rect">
                      <a:avLst/>
                    </a:prstGeom>
                    <a:noFill/>
                    <a:ln>
                      <a:noFill/>
                    </a:ln>
                  </pic:spPr>
                </pic:pic>
              </a:graphicData>
            </a:graphic>
          </wp:inline>
        </w:drawing>
      </w:r>
    </w:p>
    <w:p w14:paraId="1BA61224" w14:textId="1503B2D5" w:rsidR="005F6F52" w:rsidRDefault="005F6F52" w:rsidP="003D0579">
      <w:pPr>
        <w:pStyle w:val="Caption"/>
      </w:pPr>
      <w:bookmarkStart w:id="34" w:name="_Ref129111817"/>
      <w:r>
        <w:t xml:space="preserve">Figure </w:t>
      </w:r>
      <w:fldSimple w:instr=" SEQ Figure \* ARABIC ">
        <w:r w:rsidR="00B11BFB">
          <w:rPr>
            <w:noProof/>
          </w:rPr>
          <w:t>20</w:t>
        </w:r>
      </w:fldSimple>
      <w:bookmarkEnd w:id="34"/>
      <w:r>
        <w:t xml:space="preserve"> -</w:t>
      </w:r>
      <w:r w:rsidR="00C72E07">
        <w:t xml:space="preserve"> </w:t>
      </w:r>
      <w:r w:rsidR="00BE7A47">
        <w:t xml:space="preserve">IQR </w:t>
      </w:r>
      <w:r w:rsidR="00CB6375">
        <w:t>at every time step for</w:t>
      </w:r>
      <w:r w:rsidR="00BC2797">
        <w:t xml:space="preserve"> the case presented in</w:t>
      </w:r>
      <w:r w:rsidR="00CB6375">
        <w:t xml:space="preserve"> </w:t>
      </w:r>
      <w:r w:rsidR="00CB6375">
        <w:fldChar w:fldCharType="begin"/>
      </w:r>
      <w:r w:rsidR="00CB6375">
        <w:instrText xml:space="preserve"> REF _Ref127201852 \h </w:instrText>
      </w:r>
      <w:r w:rsidR="00CB6375">
        <w:fldChar w:fldCharType="separate"/>
      </w:r>
      <w:r w:rsidR="00B11BFB">
        <w:t xml:space="preserve">Figure </w:t>
      </w:r>
      <w:r w:rsidR="00B11BFB">
        <w:rPr>
          <w:noProof/>
        </w:rPr>
        <w:t>19</w:t>
      </w:r>
      <w:r w:rsidR="00CB6375">
        <w:fldChar w:fldCharType="end"/>
      </w:r>
      <w:r w:rsidR="00BC2797">
        <w:t>. We observe that the IQR is not affected by noisy rate measurements.</w:t>
      </w:r>
    </w:p>
    <w:p w14:paraId="4D12A82C" w14:textId="77777777" w:rsidR="009415DD" w:rsidRPr="00446B99" w:rsidRDefault="009415DD" w:rsidP="003D0579">
      <w:pPr>
        <w:pStyle w:val="Caption"/>
      </w:pPr>
      <w:r w:rsidRPr="001E3323">
        <w:t xml:space="preserve"> </w:t>
      </w:r>
      <w:r>
        <w:br w:type="page"/>
      </w:r>
    </w:p>
    <w:p w14:paraId="5FCA898F" w14:textId="5DDE07EE" w:rsidR="009415DD" w:rsidRDefault="009415DD" w:rsidP="003D0579">
      <w:pPr>
        <w:pStyle w:val="Caption"/>
      </w:pPr>
      <w:bookmarkStart w:id="35" w:name="_Ref127202150"/>
      <w:r>
        <w:lastRenderedPageBreak/>
        <w:t xml:space="preserve">Table </w:t>
      </w:r>
      <w:fldSimple w:instr=" SEQ Table \* ARABIC ">
        <w:r w:rsidR="00B11BFB">
          <w:rPr>
            <w:noProof/>
          </w:rPr>
          <w:t>5</w:t>
        </w:r>
      </w:fldSimple>
      <w:bookmarkEnd w:id="35"/>
      <w:r w:rsidRPr="00062A9C">
        <w:t xml:space="preserve">.- SMAPE and MAE for all wells in </w:t>
      </w:r>
      <w:r w:rsidR="007F1708">
        <w:t>Scenario B</w:t>
      </w:r>
      <w:r w:rsidRPr="00062A9C">
        <w:t xml:space="preserve"> using the TFT-based surrogate flow model.</w:t>
      </w:r>
    </w:p>
    <w:tbl>
      <w:tblPr>
        <w:tblStyle w:val="TableGrid"/>
        <w:tblW w:w="0" w:type="auto"/>
        <w:jc w:val="center"/>
        <w:tblLook w:val="04A0" w:firstRow="1" w:lastRow="0" w:firstColumn="1" w:lastColumn="0" w:noHBand="0" w:noVBand="1"/>
      </w:tblPr>
      <w:tblGrid>
        <w:gridCol w:w="3116"/>
        <w:gridCol w:w="3117"/>
      </w:tblGrid>
      <w:tr w:rsidR="009415DD" w:rsidRPr="00A462A6" w14:paraId="00EED796" w14:textId="77777777" w:rsidTr="0033329D">
        <w:trPr>
          <w:trHeight w:val="432"/>
          <w:jc w:val="center"/>
        </w:trPr>
        <w:tc>
          <w:tcPr>
            <w:tcW w:w="6233" w:type="dxa"/>
            <w:gridSpan w:val="2"/>
          </w:tcPr>
          <w:p w14:paraId="780C0A2A" w14:textId="02B5FA41" w:rsidR="009415DD" w:rsidRPr="00A462A6" w:rsidRDefault="007F1708" w:rsidP="0033329D">
            <w:pPr>
              <w:jc w:val="center"/>
              <w:rPr>
                <w:b/>
                <w:sz w:val="20"/>
                <w:szCs w:val="18"/>
              </w:rPr>
            </w:pPr>
            <w:r>
              <w:rPr>
                <w:b/>
                <w:sz w:val="20"/>
                <w:szCs w:val="18"/>
              </w:rPr>
              <w:t>Scenario B</w:t>
            </w:r>
          </w:p>
        </w:tc>
      </w:tr>
      <w:tr w:rsidR="009415DD" w:rsidRPr="00A462A6" w14:paraId="6FD9090D" w14:textId="77777777" w:rsidTr="0033329D">
        <w:trPr>
          <w:trHeight w:val="432"/>
          <w:jc w:val="center"/>
        </w:trPr>
        <w:tc>
          <w:tcPr>
            <w:tcW w:w="3116" w:type="dxa"/>
          </w:tcPr>
          <w:p w14:paraId="65D13F60" w14:textId="77777777" w:rsidR="009415DD" w:rsidRPr="00A462A6" w:rsidRDefault="009415DD" w:rsidP="0033329D">
            <w:pPr>
              <w:rPr>
                <w:sz w:val="20"/>
                <w:szCs w:val="18"/>
              </w:rPr>
            </w:pPr>
            <w:r w:rsidRPr="00A462A6">
              <w:rPr>
                <w:sz w:val="20"/>
                <w:szCs w:val="18"/>
              </w:rPr>
              <w:t>Metric</w:t>
            </w:r>
          </w:p>
        </w:tc>
        <w:tc>
          <w:tcPr>
            <w:tcW w:w="3117" w:type="dxa"/>
          </w:tcPr>
          <w:p w14:paraId="27793453" w14:textId="77777777" w:rsidR="009415DD" w:rsidRPr="00A462A6" w:rsidRDefault="009415DD" w:rsidP="0033329D">
            <w:pPr>
              <w:jc w:val="center"/>
              <w:rPr>
                <w:sz w:val="20"/>
                <w:szCs w:val="18"/>
              </w:rPr>
            </w:pPr>
            <w:r w:rsidRPr="00A462A6">
              <w:rPr>
                <w:sz w:val="20"/>
                <w:szCs w:val="18"/>
              </w:rPr>
              <w:t>Value</w:t>
            </w:r>
          </w:p>
        </w:tc>
      </w:tr>
      <w:tr w:rsidR="009415DD" w:rsidRPr="00A462A6" w14:paraId="27BFFD8B" w14:textId="77777777" w:rsidTr="0033329D">
        <w:trPr>
          <w:trHeight w:val="432"/>
          <w:jc w:val="center"/>
        </w:trPr>
        <w:tc>
          <w:tcPr>
            <w:tcW w:w="3116" w:type="dxa"/>
          </w:tcPr>
          <w:p w14:paraId="743D1AB3" w14:textId="77777777" w:rsidR="009415DD" w:rsidRPr="00A462A6" w:rsidRDefault="009415DD" w:rsidP="0033329D">
            <w:pPr>
              <w:rPr>
                <w:sz w:val="20"/>
                <w:szCs w:val="18"/>
              </w:rPr>
            </w:pPr>
            <w:r w:rsidRPr="00A462A6">
              <w:rPr>
                <w:sz w:val="20"/>
                <w:szCs w:val="18"/>
              </w:rPr>
              <w:t>Benchmark MAE</w:t>
            </w:r>
          </w:p>
        </w:tc>
        <w:tc>
          <w:tcPr>
            <w:tcW w:w="3117" w:type="dxa"/>
          </w:tcPr>
          <w:p w14:paraId="67364348" w14:textId="77777777" w:rsidR="009415DD" w:rsidRPr="00A462A6" w:rsidRDefault="009415DD" w:rsidP="0033329D">
            <w:pPr>
              <w:jc w:val="center"/>
              <w:rPr>
                <w:sz w:val="20"/>
                <w:szCs w:val="18"/>
              </w:rPr>
            </w:pPr>
            <w:r w:rsidRPr="00A462A6">
              <w:rPr>
                <w:sz w:val="20"/>
                <w:szCs w:val="18"/>
              </w:rPr>
              <w:t xml:space="preserve">285.51 </w:t>
            </w:r>
            <m:oMath>
              <m:r>
                <w:rPr>
                  <w:rFonts w:ascii="Cambria Math" w:hAnsi="Cambria Math"/>
                  <w:sz w:val="20"/>
                  <w:szCs w:val="18"/>
                </w:rPr>
                <m:t>bl</m:t>
              </m:r>
            </m:oMath>
          </w:p>
        </w:tc>
      </w:tr>
      <w:tr w:rsidR="009415DD" w:rsidRPr="00A462A6" w14:paraId="5D540179" w14:textId="77777777" w:rsidTr="0033329D">
        <w:trPr>
          <w:trHeight w:val="432"/>
          <w:jc w:val="center"/>
        </w:trPr>
        <w:tc>
          <w:tcPr>
            <w:tcW w:w="3116" w:type="dxa"/>
          </w:tcPr>
          <w:p w14:paraId="0B6E95EA" w14:textId="77777777" w:rsidR="009415DD" w:rsidRPr="00A462A6" w:rsidRDefault="009415DD" w:rsidP="0033329D">
            <w:pPr>
              <w:rPr>
                <w:sz w:val="20"/>
                <w:szCs w:val="18"/>
              </w:rPr>
            </w:pPr>
            <w:r w:rsidRPr="00A462A6">
              <w:rPr>
                <w:sz w:val="20"/>
                <w:szCs w:val="18"/>
              </w:rPr>
              <w:t>Benchmark SMAPE</w:t>
            </w:r>
          </w:p>
        </w:tc>
        <w:tc>
          <w:tcPr>
            <w:tcW w:w="3117" w:type="dxa"/>
          </w:tcPr>
          <w:p w14:paraId="2C79F25F" w14:textId="77777777" w:rsidR="009415DD" w:rsidRPr="00A462A6" w:rsidRDefault="009415DD" w:rsidP="0033329D">
            <w:pPr>
              <w:jc w:val="center"/>
              <w:rPr>
                <w:sz w:val="20"/>
                <w:szCs w:val="18"/>
              </w:rPr>
            </w:pPr>
            <w:r w:rsidRPr="00A462A6">
              <w:rPr>
                <w:sz w:val="20"/>
                <w:szCs w:val="18"/>
              </w:rPr>
              <w:t>16.5 %</w:t>
            </w:r>
          </w:p>
        </w:tc>
      </w:tr>
      <w:tr w:rsidR="009415DD" w:rsidRPr="00A462A6" w14:paraId="7CBE4065" w14:textId="77777777" w:rsidTr="0033329D">
        <w:trPr>
          <w:trHeight w:val="432"/>
          <w:jc w:val="center"/>
        </w:trPr>
        <w:tc>
          <w:tcPr>
            <w:tcW w:w="3116" w:type="dxa"/>
          </w:tcPr>
          <w:p w14:paraId="7AC96C6D" w14:textId="77777777" w:rsidR="009415DD" w:rsidRPr="00A462A6" w:rsidRDefault="009415DD" w:rsidP="0033329D">
            <w:pPr>
              <w:rPr>
                <w:sz w:val="20"/>
                <w:szCs w:val="18"/>
              </w:rPr>
            </w:pPr>
            <w:r w:rsidRPr="00A462A6">
              <w:rPr>
                <w:sz w:val="20"/>
                <w:szCs w:val="18"/>
              </w:rPr>
              <w:t>MAE</w:t>
            </w:r>
          </w:p>
        </w:tc>
        <w:tc>
          <w:tcPr>
            <w:tcW w:w="3117" w:type="dxa"/>
          </w:tcPr>
          <w:p w14:paraId="1C5179E6" w14:textId="77777777" w:rsidR="009415DD" w:rsidRPr="00A462A6" w:rsidRDefault="009415DD" w:rsidP="0033329D">
            <w:pPr>
              <w:jc w:val="center"/>
              <w:rPr>
                <w:sz w:val="20"/>
                <w:szCs w:val="18"/>
              </w:rPr>
            </w:pPr>
            <w:r w:rsidRPr="00A462A6">
              <w:rPr>
                <w:sz w:val="20"/>
                <w:szCs w:val="18"/>
              </w:rPr>
              <w:t xml:space="preserve">23.63 </w:t>
            </w:r>
            <m:oMath>
              <m:r>
                <w:rPr>
                  <w:rFonts w:ascii="Cambria Math" w:hAnsi="Cambria Math"/>
                  <w:sz w:val="20"/>
                  <w:szCs w:val="18"/>
                </w:rPr>
                <m:t>bl</m:t>
              </m:r>
            </m:oMath>
          </w:p>
        </w:tc>
      </w:tr>
      <w:tr w:rsidR="009415DD" w:rsidRPr="00A462A6" w14:paraId="264F3318" w14:textId="77777777" w:rsidTr="0033329D">
        <w:trPr>
          <w:trHeight w:val="432"/>
          <w:jc w:val="center"/>
        </w:trPr>
        <w:tc>
          <w:tcPr>
            <w:tcW w:w="3116" w:type="dxa"/>
          </w:tcPr>
          <w:p w14:paraId="29B96CB6" w14:textId="77777777" w:rsidR="009415DD" w:rsidRPr="00A462A6" w:rsidRDefault="009415DD" w:rsidP="0033329D">
            <w:pPr>
              <w:rPr>
                <w:sz w:val="20"/>
                <w:szCs w:val="18"/>
              </w:rPr>
            </w:pPr>
            <w:r w:rsidRPr="00A462A6">
              <w:rPr>
                <w:sz w:val="20"/>
                <w:szCs w:val="18"/>
              </w:rPr>
              <w:t>SMAPE</w:t>
            </w:r>
          </w:p>
        </w:tc>
        <w:tc>
          <w:tcPr>
            <w:tcW w:w="3117" w:type="dxa"/>
          </w:tcPr>
          <w:p w14:paraId="498C4C12" w14:textId="77777777" w:rsidR="009415DD" w:rsidRPr="00A462A6" w:rsidRDefault="009415DD" w:rsidP="0033329D">
            <w:pPr>
              <w:jc w:val="center"/>
              <w:rPr>
                <w:sz w:val="20"/>
                <w:szCs w:val="18"/>
              </w:rPr>
            </w:pPr>
            <w:r w:rsidRPr="00A462A6">
              <w:rPr>
                <w:sz w:val="20"/>
                <w:szCs w:val="18"/>
              </w:rPr>
              <w:t>1.33 %</w:t>
            </w:r>
          </w:p>
        </w:tc>
      </w:tr>
    </w:tbl>
    <w:p w14:paraId="4767F06B" w14:textId="77777777" w:rsidR="009415DD" w:rsidRPr="00062A9C" w:rsidRDefault="009415DD" w:rsidP="009415DD">
      <w:pPr>
        <w:pStyle w:val="Figures"/>
      </w:pPr>
    </w:p>
    <w:p w14:paraId="797F0465" w14:textId="77777777" w:rsidR="009415DD" w:rsidRDefault="009415DD" w:rsidP="009415DD">
      <w:pPr>
        <w:keepNext/>
      </w:pPr>
      <w:r>
        <w:rPr>
          <w:noProof/>
        </w:rPr>
        <w:drawing>
          <wp:inline distT="0" distB="0" distL="0" distR="0" wp14:anchorId="03F44AA6" wp14:editId="4DE063CC">
            <wp:extent cx="5937885" cy="3954780"/>
            <wp:effectExtent l="0" t="0" r="5715" b="762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885" cy="3954780"/>
                    </a:xfrm>
                    <a:prstGeom prst="rect">
                      <a:avLst/>
                    </a:prstGeom>
                    <a:noFill/>
                    <a:ln>
                      <a:noFill/>
                    </a:ln>
                  </pic:spPr>
                </pic:pic>
              </a:graphicData>
            </a:graphic>
          </wp:inline>
        </w:drawing>
      </w:r>
    </w:p>
    <w:p w14:paraId="18D89A7E" w14:textId="77777777" w:rsidR="009415DD" w:rsidRPr="00062A9C" w:rsidRDefault="009415DD" w:rsidP="003D0579">
      <w:pPr>
        <w:pStyle w:val="Caption"/>
      </w:pPr>
      <w:bookmarkStart w:id="36" w:name="_Ref127201861"/>
      <w:r>
        <w:t xml:space="preserve">Figure </w:t>
      </w:r>
      <w:fldSimple w:instr=" SEQ Figure \* ARABIC ">
        <w:r w:rsidR="00B11BFB">
          <w:rPr>
            <w:noProof/>
          </w:rPr>
          <w:t>21</w:t>
        </w:r>
      </w:fldSimple>
      <w:bookmarkEnd w:id="36"/>
      <w:r w:rsidRPr="00062A9C">
        <w:t>.- Rate forecasting, encoder-decoder attention weights, and events</w:t>
      </w:r>
      <w:r w:rsidR="00A66166">
        <w:t xml:space="preserve"> predictor</w:t>
      </w:r>
      <w:r w:rsidRPr="00062A9C">
        <w:t xml:space="preserve"> feature. The attention head weights show consistent</w:t>
      </w:r>
      <w:r w:rsidR="00905BA6">
        <w:t>ly</w:t>
      </w:r>
      <w:r w:rsidRPr="00062A9C">
        <w:t xml:space="preserve"> high attention weights to sharp changes corresponding to events for the decoder part in the presence of noisy measurements.</w:t>
      </w:r>
      <w:r w:rsidRPr="00062A9C">
        <w:br w:type="page"/>
      </w:r>
    </w:p>
    <w:p w14:paraId="48AB9ABB" w14:textId="3E8D280D" w:rsidR="00030EA8" w:rsidRDefault="00030EA8" w:rsidP="00030EA8">
      <w:pPr>
        <w:pStyle w:val="Heading2"/>
      </w:pPr>
      <w:r>
        <w:lastRenderedPageBreak/>
        <w:t xml:space="preserve">Evaluation of </w:t>
      </w:r>
      <w:r w:rsidR="00170D38">
        <w:t>scenario C</w:t>
      </w:r>
    </w:p>
    <w:p w14:paraId="7A5BD24B" w14:textId="7BA29114" w:rsidR="00F95A8D" w:rsidRDefault="00E65EA5" w:rsidP="00F95A8D">
      <w:r>
        <w:t xml:space="preserve">Using </w:t>
      </w:r>
      <w:r w:rsidR="00C34B86">
        <w:t xml:space="preserve">the </w:t>
      </w:r>
      <w:r>
        <w:t xml:space="preserve">dataset </w:t>
      </w:r>
      <w:r w:rsidR="00C34B86">
        <w:t xml:space="preserve">from </w:t>
      </w:r>
      <w:r w:rsidR="00170D38">
        <w:t>scenario C</w:t>
      </w:r>
      <w:r>
        <w:t>, w</w:t>
      </w:r>
      <w:r w:rsidRPr="00062A9C">
        <w:t xml:space="preserve">e </w:t>
      </w:r>
      <w:r>
        <w:t xml:space="preserve">follow the workflow described in the methodology section </w:t>
      </w:r>
      <w:r w:rsidR="001F7B42">
        <w:t>and train</w:t>
      </w:r>
      <w:r>
        <w:t xml:space="preserve"> a TFT-based surrogate flow model</w:t>
      </w:r>
      <w:r w:rsidRPr="00062A9C">
        <w:t>.</w:t>
      </w:r>
      <w:r w:rsidR="00966E2C">
        <w:t xml:space="preserve"> For training</w:t>
      </w:r>
      <w:r w:rsidR="00905BA6">
        <w:t>,</w:t>
      </w:r>
      <w:r w:rsidR="00966E2C">
        <w:t xml:space="preserve"> w</w:t>
      </w:r>
      <w:r w:rsidR="00966E2C" w:rsidRPr="00062A9C">
        <w:t>e use</w:t>
      </w:r>
      <w:r w:rsidR="00966E2C">
        <w:t xml:space="preserve"> the entire production history of</w:t>
      </w:r>
      <w:r w:rsidR="00966E2C" w:rsidRPr="00062A9C">
        <w:t xml:space="preserve"> well P1</w:t>
      </w:r>
      <w:r w:rsidR="00966E2C">
        <w:t xml:space="preserve"> and the last 180 </w:t>
      </w:r>
      <w:r w:rsidR="004329F8">
        <w:t xml:space="preserve">days of </w:t>
      </w:r>
      <w:r w:rsidR="00966E2C">
        <w:t xml:space="preserve">production and injection </w:t>
      </w:r>
      <w:r w:rsidR="004329F8">
        <w:t>data</w:t>
      </w:r>
      <w:r w:rsidR="00966E2C">
        <w:t xml:space="preserve"> from wells P2-P4 and I1 </w:t>
      </w:r>
      <w:r w:rsidR="00966E2C" w:rsidRPr="00062A9C">
        <w:t>for testing.</w:t>
      </w:r>
      <w:r w:rsidR="00966E2C">
        <w:t xml:space="preserve"> The rest of the production and injection history is used for training.</w:t>
      </w:r>
      <w:r w:rsidR="00843DF9">
        <w:t xml:space="preserve"> </w:t>
      </w:r>
      <w:r w:rsidR="00B11BFB">
        <w:fldChar w:fldCharType="begin"/>
      </w:r>
      <w:r w:rsidR="00B11BFB">
        <w:instrText xml:space="preserve"> REF _Ref129017155 \h </w:instrText>
      </w:r>
      <w:r w:rsidR="00B11BFB">
        <w:fldChar w:fldCharType="separate"/>
      </w:r>
      <w:r w:rsidR="00B11BFB">
        <w:t xml:space="preserve">Table </w:t>
      </w:r>
      <w:r w:rsidR="00B11BFB">
        <w:rPr>
          <w:noProof/>
        </w:rPr>
        <w:t>6</w:t>
      </w:r>
      <w:r w:rsidR="00B11BFB">
        <w:fldChar w:fldCharType="end"/>
      </w:r>
      <w:r w:rsidR="00F95A8D">
        <w:t xml:space="preserve"> presents the hyperparameters selected for the model used in </w:t>
      </w:r>
      <w:r w:rsidR="00170D38">
        <w:t>scenario C</w:t>
      </w:r>
      <w:r w:rsidR="00F95A8D" w:rsidRPr="00062A9C">
        <w:t>.</w:t>
      </w:r>
    </w:p>
    <w:p w14:paraId="2F9F89B3" w14:textId="32C01B75" w:rsidR="007552FD" w:rsidRDefault="007552FD" w:rsidP="003D0579">
      <w:pPr>
        <w:pStyle w:val="Caption"/>
      </w:pPr>
      <w:bookmarkStart w:id="37" w:name="_Ref129017155"/>
      <w:r>
        <w:t xml:space="preserve">Table </w:t>
      </w:r>
      <w:fldSimple w:instr=" SEQ Table \* ARABIC ">
        <w:r w:rsidR="00B11BFB">
          <w:rPr>
            <w:noProof/>
          </w:rPr>
          <w:t>6</w:t>
        </w:r>
      </w:fldSimple>
      <w:bookmarkEnd w:id="37"/>
      <w:r w:rsidR="00522360">
        <w:t>.</w:t>
      </w:r>
      <w:r>
        <w:t>-</w:t>
      </w:r>
      <w:r>
        <w:rPr>
          <w:noProof/>
        </w:rPr>
        <w:t xml:space="preserve"> </w:t>
      </w:r>
      <w:r w:rsidRPr="0023367D">
        <w:rPr>
          <w:noProof/>
        </w:rPr>
        <w:t>Hyperparameters used for the TFT-based surrogate flow model</w:t>
      </w:r>
      <w:r>
        <w:rPr>
          <w:noProof/>
        </w:rPr>
        <w:t xml:space="preserve"> for </w:t>
      </w:r>
      <w:r w:rsidR="00933C34">
        <w:rPr>
          <w:noProof/>
        </w:rPr>
        <w:t>scenario C</w:t>
      </w:r>
      <w:r w:rsidRPr="0023367D">
        <w:rPr>
          <w:noProof/>
        </w:rPr>
        <w:t>.</w:t>
      </w:r>
    </w:p>
    <w:tbl>
      <w:tblPr>
        <w:tblStyle w:val="TableGrid"/>
        <w:tblW w:w="0" w:type="auto"/>
        <w:tblLook w:val="04A0" w:firstRow="1" w:lastRow="0" w:firstColumn="1" w:lastColumn="0" w:noHBand="0" w:noVBand="1"/>
      </w:tblPr>
      <w:tblGrid>
        <w:gridCol w:w="4675"/>
        <w:gridCol w:w="4675"/>
      </w:tblGrid>
      <w:tr w:rsidR="007552FD" w:rsidRPr="00062A9C" w14:paraId="3F1D88D2" w14:textId="77777777" w:rsidTr="0033329D">
        <w:tc>
          <w:tcPr>
            <w:tcW w:w="4675" w:type="dxa"/>
          </w:tcPr>
          <w:p w14:paraId="167254A6" w14:textId="77777777" w:rsidR="007552FD" w:rsidRPr="008C473C" w:rsidRDefault="007552FD" w:rsidP="0033329D">
            <w:pPr>
              <w:pStyle w:val="Figures"/>
              <w:rPr>
                <w:b/>
                <w:bCs/>
              </w:rPr>
            </w:pPr>
            <w:r w:rsidRPr="008C473C">
              <w:rPr>
                <w:b/>
                <w:bCs/>
              </w:rPr>
              <w:t>Hyperparameter</w:t>
            </w:r>
          </w:p>
        </w:tc>
        <w:tc>
          <w:tcPr>
            <w:tcW w:w="4675" w:type="dxa"/>
          </w:tcPr>
          <w:p w14:paraId="3B2615C2" w14:textId="77777777" w:rsidR="007552FD" w:rsidRPr="008C473C" w:rsidRDefault="007552FD" w:rsidP="0033329D">
            <w:pPr>
              <w:pStyle w:val="Figures"/>
              <w:rPr>
                <w:b/>
                <w:bCs/>
              </w:rPr>
            </w:pPr>
            <w:r w:rsidRPr="008C473C">
              <w:rPr>
                <w:b/>
                <w:bCs/>
              </w:rPr>
              <w:t>Value</w:t>
            </w:r>
          </w:p>
        </w:tc>
      </w:tr>
      <w:tr w:rsidR="007552FD" w:rsidRPr="00062A9C" w14:paraId="28087A18" w14:textId="77777777" w:rsidTr="0033329D">
        <w:tc>
          <w:tcPr>
            <w:tcW w:w="4675" w:type="dxa"/>
          </w:tcPr>
          <w:p w14:paraId="6B16B5DB" w14:textId="77777777" w:rsidR="007552FD" w:rsidRPr="00062A9C" w:rsidRDefault="007552FD" w:rsidP="0033329D">
            <w:pPr>
              <w:pStyle w:val="Figures"/>
            </w:pPr>
            <w:proofErr w:type="spellStart"/>
            <w:r w:rsidRPr="00062A9C">
              <w:t>gradient_clip_val</w:t>
            </w:r>
            <w:proofErr w:type="spellEnd"/>
          </w:p>
        </w:tc>
        <w:tc>
          <w:tcPr>
            <w:tcW w:w="4675" w:type="dxa"/>
          </w:tcPr>
          <w:p w14:paraId="614B7D08" w14:textId="77777777" w:rsidR="007552FD" w:rsidRPr="00062A9C" w:rsidRDefault="007552FD" w:rsidP="0033329D">
            <w:pPr>
              <w:pStyle w:val="Figures"/>
            </w:pPr>
            <w:r w:rsidRPr="00062A9C">
              <w:t>0.</w:t>
            </w:r>
            <w:r>
              <w:t>0246711</w:t>
            </w:r>
          </w:p>
        </w:tc>
      </w:tr>
      <w:tr w:rsidR="007552FD" w:rsidRPr="00062A9C" w14:paraId="7A0BEC16" w14:textId="77777777" w:rsidTr="0033329D">
        <w:tc>
          <w:tcPr>
            <w:tcW w:w="4675" w:type="dxa"/>
          </w:tcPr>
          <w:p w14:paraId="6840AA8E" w14:textId="77777777" w:rsidR="007552FD" w:rsidRPr="00062A9C" w:rsidRDefault="007552FD" w:rsidP="0033329D">
            <w:pPr>
              <w:pStyle w:val="Figures"/>
            </w:pPr>
            <w:proofErr w:type="spellStart"/>
            <w:r w:rsidRPr="00062A9C">
              <w:t>hidden_size</w:t>
            </w:r>
            <w:proofErr w:type="spellEnd"/>
          </w:p>
        </w:tc>
        <w:tc>
          <w:tcPr>
            <w:tcW w:w="4675" w:type="dxa"/>
          </w:tcPr>
          <w:p w14:paraId="13DC0080" w14:textId="77777777" w:rsidR="007552FD" w:rsidRPr="00062A9C" w:rsidRDefault="007552FD" w:rsidP="0033329D">
            <w:pPr>
              <w:pStyle w:val="Figures"/>
            </w:pPr>
            <w:r>
              <w:t>61</w:t>
            </w:r>
          </w:p>
        </w:tc>
      </w:tr>
      <w:tr w:rsidR="007552FD" w:rsidRPr="00062A9C" w14:paraId="374320BA" w14:textId="77777777" w:rsidTr="0033329D">
        <w:tc>
          <w:tcPr>
            <w:tcW w:w="4675" w:type="dxa"/>
          </w:tcPr>
          <w:p w14:paraId="366D1409" w14:textId="77777777" w:rsidR="007552FD" w:rsidRPr="00062A9C" w:rsidRDefault="007552FD" w:rsidP="0033329D">
            <w:pPr>
              <w:pStyle w:val="Figures"/>
            </w:pPr>
            <w:r w:rsidRPr="00062A9C">
              <w:t>dropout</w:t>
            </w:r>
          </w:p>
        </w:tc>
        <w:tc>
          <w:tcPr>
            <w:tcW w:w="4675" w:type="dxa"/>
          </w:tcPr>
          <w:p w14:paraId="11A6637B" w14:textId="77777777" w:rsidR="007552FD" w:rsidRPr="00062A9C" w:rsidRDefault="007552FD" w:rsidP="0033329D">
            <w:pPr>
              <w:pStyle w:val="Figures"/>
            </w:pPr>
            <w:r w:rsidRPr="00062A9C">
              <w:t>0.1</w:t>
            </w:r>
            <w:r>
              <w:t>9559</w:t>
            </w:r>
          </w:p>
        </w:tc>
      </w:tr>
      <w:tr w:rsidR="007552FD" w:rsidRPr="00062A9C" w14:paraId="4C0B65E1" w14:textId="77777777" w:rsidTr="0033329D">
        <w:tc>
          <w:tcPr>
            <w:tcW w:w="4675" w:type="dxa"/>
          </w:tcPr>
          <w:p w14:paraId="254B5E82" w14:textId="77777777" w:rsidR="007552FD" w:rsidRPr="00062A9C" w:rsidRDefault="007552FD" w:rsidP="0033329D">
            <w:pPr>
              <w:pStyle w:val="Figures"/>
            </w:pPr>
            <w:proofErr w:type="spellStart"/>
            <w:r w:rsidRPr="00062A9C">
              <w:t>hidden_continuous_size</w:t>
            </w:r>
            <w:proofErr w:type="spellEnd"/>
          </w:p>
        </w:tc>
        <w:tc>
          <w:tcPr>
            <w:tcW w:w="4675" w:type="dxa"/>
          </w:tcPr>
          <w:p w14:paraId="57755A05" w14:textId="77777777" w:rsidR="007552FD" w:rsidRPr="00062A9C" w:rsidRDefault="007552FD" w:rsidP="0033329D">
            <w:pPr>
              <w:pStyle w:val="Figures"/>
            </w:pPr>
            <w:r>
              <w:t>59</w:t>
            </w:r>
          </w:p>
        </w:tc>
      </w:tr>
      <w:tr w:rsidR="007552FD" w:rsidRPr="00062A9C" w14:paraId="634E9CEC" w14:textId="77777777" w:rsidTr="0033329D">
        <w:tc>
          <w:tcPr>
            <w:tcW w:w="4675" w:type="dxa"/>
          </w:tcPr>
          <w:p w14:paraId="6C505070" w14:textId="77777777" w:rsidR="007552FD" w:rsidRPr="00062A9C" w:rsidRDefault="007552FD" w:rsidP="0033329D">
            <w:pPr>
              <w:pStyle w:val="Figures"/>
            </w:pPr>
            <w:proofErr w:type="spellStart"/>
            <w:r w:rsidRPr="00062A9C">
              <w:t>attention_head_size</w:t>
            </w:r>
            <w:proofErr w:type="spellEnd"/>
          </w:p>
        </w:tc>
        <w:tc>
          <w:tcPr>
            <w:tcW w:w="4675" w:type="dxa"/>
          </w:tcPr>
          <w:p w14:paraId="602AC183" w14:textId="77777777" w:rsidR="007552FD" w:rsidRPr="00062A9C" w:rsidRDefault="007552FD" w:rsidP="0033329D">
            <w:pPr>
              <w:pStyle w:val="Figures"/>
            </w:pPr>
            <w:r>
              <w:t>3</w:t>
            </w:r>
          </w:p>
        </w:tc>
      </w:tr>
      <w:tr w:rsidR="007552FD" w:rsidRPr="00062A9C" w14:paraId="3E58F1EA" w14:textId="77777777" w:rsidTr="0033329D">
        <w:tc>
          <w:tcPr>
            <w:tcW w:w="4675" w:type="dxa"/>
          </w:tcPr>
          <w:p w14:paraId="59E6FDDF" w14:textId="77777777" w:rsidR="007552FD" w:rsidRPr="00062A9C" w:rsidRDefault="007552FD" w:rsidP="0033329D">
            <w:pPr>
              <w:pStyle w:val="Figures"/>
            </w:pPr>
            <w:proofErr w:type="spellStart"/>
            <w:r w:rsidRPr="00062A9C">
              <w:t>learning_rate</w:t>
            </w:r>
            <w:proofErr w:type="spellEnd"/>
          </w:p>
        </w:tc>
        <w:tc>
          <w:tcPr>
            <w:tcW w:w="4675" w:type="dxa"/>
          </w:tcPr>
          <w:p w14:paraId="0DA642AF" w14:textId="77777777" w:rsidR="007552FD" w:rsidRPr="00062A9C" w:rsidRDefault="007552FD" w:rsidP="0033329D">
            <w:pPr>
              <w:pStyle w:val="Figures"/>
            </w:pPr>
            <w:r w:rsidRPr="00062A9C">
              <w:t>0.0</w:t>
            </w:r>
            <w:r>
              <w:t>73</w:t>
            </w:r>
          </w:p>
        </w:tc>
      </w:tr>
      <w:tr w:rsidR="007552FD" w:rsidRPr="00062A9C" w14:paraId="6C5C5467" w14:textId="77777777" w:rsidTr="0033329D">
        <w:tc>
          <w:tcPr>
            <w:tcW w:w="4675" w:type="dxa"/>
          </w:tcPr>
          <w:p w14:paraId="75457CA4" w14:textId="77777777" w:rsidR="007552FD" w:rsidRPr="00062A9C" w:rsidRDefault="007552FD" w:rsidP="0033329D">
            <w:pPr>
              <w:pStyle w:val="Figures"/>
            </w:pPr>
            <w:r w:rsidRPr="00062A9C">
              <w:t>epochs</w:t>
            </w:r>
          </w:p>
        </w:tc>
        <w:tc>
          <w:tcPr>
            <w:tcW w:w="4675" w:type="dxa"/>
          </w:tcPr>
          <w:p w14:paraId="05CB893B" w14:textId="77777777" w:rsidR="007552FD" w:rsidRPr="00062A9C" w:rsidRDefault="007552FD" w:rsidP="0033329D">
            <w:pPr>
              <w:pStyle w:val="Figures"/>
            </w:pPr>
            <w:r w:rsidRPr="00062A9C">
              <w:t>100</w:t>
            </w:r>
          </w:p>
        </w:tc>
      </w:tr>
    </w:tbl>
    <w:p w14:paraId="2D1EE78F" w14:textId="77777777" w:rsidR="00EE59D9" w:rsidRPr="00062A9C" w:rsidRDefault="00EE59D9" w:rsidP="00F95A8D"/>
    <w:p w14:paraId="15A62168" w14:textId="77777777" w:rsidR="00E65EA5" w:rsidRPr="00062A9C" w:rsidRDefault="003820EF" w:rsidP="00E65EA5">
      <w:r>
        <w:t xml:space="preserve"> </w:t>
      </w:r>
      <w:r w:rsidR="001315B0">
        <w:fldChar w:fldCharType="begin"/>
      </w:r>
      <w:r w:rsidR="001315B0">
        <w:instrText xml:space="preserve"> REF _Ref127201884 \h </w:instrText>
      </w:r>
      <w:r w:rsidR="001315B0">
        <w:fldChar w:fldCharType="separate"/>
      </w:r>
      <w:r w:rsidR="00B11BFB">
        <w:t xml:space="preserve">Figure </w:t>
      </w:r>
      <w:r w:rsidR="00B11BFB">
        <w:rPr>
          <w:noProof/>
        </w:rPr>
        <w:t>22</w:t>
      </w:r>
      <w:r w:rsidR="001315B0">
        <w:fldChar w:fldCharType="end"/>
      </w:r>
      <w:r w:rsidR="001315B0">
        <w:t xml:space="preserve"> </w:t>
      </w:r>
      <w:r w:rsidR="00E65EA5">
        <w:t>shows</w:t>
      </w:r>
      <w:r w:rsidR="00E65EA5" w:rsidRPr="00062A9C">
        <w:t xml:space="preserve"> </w:t>
      </w:r>
      <w:r w:rsidR="00E65EA5">
        <w:t>the water and oil rate forecast</w:t>
      </w:r>
      <w:r w:rsidR="00E65EA5" w:rsidRPr="00062A9C">
        <w:t xml:space="preserve"> at 175 days</w:t>
      </w:r>
      <w:r w:rsidR="00E65EA5">
        <w:t xml:space="preserve"> for well P1</w:t>
      </w:r>
      <w:r w:rsidR="00E65EA5" w:rsidRPr="00062A9C">
        <w:t xml:space="preserve">. We observe a good agreement between the </w:t>
      </w:r>
      <w:r w:rsidR="00E65EA5">
        <w:t>forecast</w:t>
      </w:r>
      <w:r w:rsidR="00E65EA5" w:rsidRPr="00062A9C">
        <w:t>ed</w:t>
      </w:r>
      <w:r w:rsidR="00E65EA5">
        <w:t xml:space="preserve"> and observed</w:t>
      </w:r>
      <w:r w:rsidR="00E65EA5" w:rsidRPr="00062A9C">
        <w:t xml:space="preserve"> rates. When forecasting water rate, the TFT-based surrogate flow model </w:t>
      </w:r>
      <w:r w:rsidR="00E65EA5">
        <w:t>forecasts</w:t>
      </w:r>
      <w:r w:rsidR="00E65EA5" w:rsidRPr="00062A9C">
        <w:t xml:space="preserve"> water </w:t>
      </w:r>
      <w:r w:rsidR="00E65EA5">
        <w:t>production</w:t>
      </w:r>
      <w:r w:rsidR="00E65EA5" w:rsidRPr="00062A9C">
        <w:t xml:space="preserve"> even when there is no information other than injection rates in the dataset. We plot the encoder and decoder attention head weights on the second axis</w:t>
      </w:r>
      <w:r w:rsidR="000B0399">
        <w:t xml:space="preserve"> of  </w:t>
      </w:r>
      <w:r w:rsidR="000B0399">
        <w:fldChar w:fldCharType="begin"/>
      </w:r>
      <w:r w:rsidR="000B0399">
        <w:instrText xml:space="preserve"> REF _Ref127201884 \h </w:instrText>
      </w:r>
      <w:r w:rsidR="000B0399">
        <w:fldChar w:fldCharType="separate"/>
      </w:r>
      <w:r w:rsidR="000B0399">
        <w:t xml:space="preserve">Figure </w:t>
      </w:r>
      <w:r w:rsidR="000B0399">
        <w:rPr>
          <w:noProof/>
        </w:rPr>
        <w:t>22</w:t>
      </w:r>
      <w:r w:rsidR="000B0399">
        <w:fldChar w:fldCharType="end"/>
      </w:r>
      <w:r w:rsidR="00170D38">
        <w:t>, we observe high attention weights corresponding to the estimated water breakthrough.</w:t>
      </w:r>
      <w:r w:rsidR="009260C8">
        <w:t xml:space="preserve"> </w:t>
      </w:r>
      <w:r w:rsidR="00170D38">
        <w:fldChar w:fldCharType="begin"/>
      </w:r>
      <w:r w:rsidR="00170D38">
        <w:instrText xml:space="preserve"> REF _Ref127202167 \h </w:instrText>
      </w:r>
      <w:r w:rsidR="00170D38">
        <w:fldChar w:fldCharType="separate"/>
      </w:r>
      <w:r w:rsidR="00170D38">
        <w:t xml:space="preserve">Table </w:t>
      </w:r>
      <w:r w:rsidR="00170D38">
        <w:rPr>
          <w:noProof/>
        </w:rPr>
        <w:t>7</w:t>
      </w:r>
      <w:r w:rsidR="00170D38">
        <w:fldChar w:fldCharType="end"/>
      </w:r>
      <w:r w:rsidR="00E65EA5">
        <w:t xml:space="preserve"> includes</w:t>
      </w:r>
      <w:r w:rsidR="00E65EA5" w:rsidRPr="00062A9C">
        <w:t xml:space="preserve"> the</w:t>
      </w:r>
      <w:r w:rsidR="00E65EA5">
        <w:t xml:space="preserve"> summary</w:t>
      </w:r>
      <w:r w:rsidR="00E65EA5" w:rsidRPr="00062A9C">
        <w:t xml:space="preserve"> score results for the testing well.</w:t>
      </w:r>
    </w:p>
    <w:p w14:paraId="215C5F0F" w14:textId="77777777" w:rsidR="00E65EA5" w:rsidRDefault="00E65EA5" w:rsidP="00E65EA5">
      <w:pPr>
        <w:keepNext/>
      </w:pPr>
      <w:r>
        <w:rPr>
          <w:noProof/>
        </w:rPr>
        <w:lastRenderedPageBreak/>
        <w:drawing>
          <wp:inline distT="0" distB="0" distL="0" distR="0" wp14:anchorId="34616A5E" wp14:editId="183A6926">
            <wp:extent cx="5937885" cy="4049395"/>
            <wp:effectExtent l="0" t="0" r="5715" b="8255"/>
            <wp:docPr id="18" name="Picture 18"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hist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885" cy="4049395"/>
                    </a:xfrm>
                    <a:prstGeom prst="rect">
                      <a:avLst/>
                    </a:prstGeom>
                    <a:noFill/>
                    <a:ln>
                      <a:noFill/>
                    </a:ln>
                  </pic:spPr>
                </pic:pic>
              </a:graphicData>
            </a:graphic>
          </wp:inline>
        </w:drawing>
      </w:r>
    </w:p>
    <w:p w14:paraId="6FB798D7" w14:textId="77777777" w:rsidR="00E65EA5" w:rsidRPr="00062A9C" w:rsidRDefault="00E65EA5" w:rsidP="003D0579">
      <w:pPr>
        <w:pStyle w:val="Caption"/>
      </w:pPr>
      <w:bookmarkStart w:id="38" w:name="_Ref127201884"/>
      <w:r>
        <w:t xml:space="preserve">Figure </w:t>
      </w:r>
      <w:fldSimple w:instr=" SEQ Figure \* ARABIC ">
        <w:r w:rsidR="00B11BFB">
          <w:rPr>
            <w:noProof/>
          </w:rPr>
          <w:t>22</w:t>
        </w:r>
      </w:fldSimple>
      <w:bookmarkEnd w:id="38"/>
      <w:r w:rsidRPr="00062A9C">
        <w:t xml:space="preserve">.- </w:t>
      </w:r>
      <w:r w:rsidR="00822505">
        <w:t>Water and oil rate forecast</w:t>
      </w:r>
      <w:r w:rsidR="00822505" w:rsidRPr="00062A9C">
        <w:t xml:space="preserve"> at 175 days</w:t>
      </w:r>
      <w:r w:rsidR="00822505">
        <w:t xml:space="preserve"> for well P1</w:t>
      </w:r>
      <w:r w:rsidR="00822505" w:rsidRPr="00062A9C">
        <w:t xml:space="preserve">. We observe a good agreement between the </w:t>
      </w:r>
      <w:r w:rsidR="00822505">
        <w:t>forecast</w:t>
      </w:r>
      <w:r w:rsidR="00822505" w:rsidRPr="00062A9C">
        <w:t>ed</w:t>
      </w:r>
      <w:r w:rsidR="00822505">
        <w:t xml:space="preserve"> and observed</w:t>
      </w:r>
      <w:r w:rsidR="00822505" w:rsidRPr="00062A9C">
        <w:t xml:space="preserve"> rates. When forecasting water rate, the TFT-based surrogate flow model </w:t>
      </w:r>
      <w:r w:rsidR="00822505">
        <w:t>forecasts</w:t>
      </w:r>
      <w:r w:rsidR="00822505" w:rsidRPr="00062A9C">
        <w:t xml:space="preserve"> water </w:t>
      </w:r>
      <w:r w:rsidR="00822505">
        <w:t>production</w:t>
      </w:r>
      <w:r w:rsidR="00822505" w:rsidRPr="00062A9C">
        <w:t xml:space="preserve"> even when there is no information other than injection rates in the dataset</w:t>
      </w:r>
      <w:r w:rsidR="00822505">
        <w:t xml:space="preserve">. We include the events predictor feature to show that </w:t>
      </w:r>
      <w:r w:rsidR="00AA0AAD">
        <w:t>no events are</w:t>
      </w:r>
      <w:r w:rsidR="00822505">
        <w:t xml:space="preserve"> specified for the time</w:t>
      </w:r>
      <w:r w:rsidR="000500BA">
        <w:t>frame.</w:t>
      </w:r>
    </w:p>
    <w:p w14:paraId="716F5A80" w14:textId="0F96FF95" w:rsidR="00E65EA5" w:rsidRDefault="00E65EA5" w:rsidP="003D0579">
      <w:pPr>
        <w:pStyle w:val="Caption"/>
      </w:pPr>
      <w:bookmarkStart w:id="39" w:name="_Ref127202167"/>
      <w:r>
        <w:t xml:space="preserve">Table </w:t>
      </w:r>
      <w:fldSimple w:instr=" SEQ Table \* ARABIC ">
        <w:r w:rsidR="00B11BFB">
          <w:rPr>
            <w:noProof/>
          </w:rPr>
          <w:t>7</w:t>
        </w:r>
      </w:fldSimple>
      <w:bookmarkEnd w:id="39"/>
      <w:r w:rsidRPr="00062A9C">
        <w:t xml:space="preserve">.- SMAPE and MAE for all wells in </w:t>
      </w:r>
      <w:r w:rsidR="00346A8E">
        <w:t>scenario</w:t>
      </w:r>
      <w:r w:rsidRPr="00062A9C">
        <w:t xml:space="preserve"> </w:t>
      </w:r>
      <w:r w:rsidR="00346A8E">
        <w:t>C</w:t>
      </w:r>
      <w:r w:rsidRPr="00062A9C">
        <w:t xml:space="preserve"> using the TFT-based surrogate flow model.</w:t>
      </w:r>
    </w:p>
    <w:tbl>
      <w:tblPr>
        <w:tblStyle w:val="TableGrid"/>
        <w:tblW w:w="0" w:type="auto"/>
        <w:jc w:val="center"/>
        <w:tblLook w:val="04A0" w:firstRow="1" w:lastRow="0" w:firstColumn="1" w:lastColumn="0" w:noHBand="0" w:noVBand="1"/>
      </w:tblPr>
      <w:tblGrid>
        <w:gridCol w:w="1435"/>
        <w:gridCol w:w="2638"/>
        <w:gridCol w:w="2638"/>
        <w:gridCol w:w="2639"/>
      </w:tblGrid>
      <w:tr w:rsidR="00E65EA5" w:rsidRPr="00CC098E" w14:paraId="2824AFCB" w14:textId="77777777" w:rsidTr="0033329D">
        <w:trPr>
          <w:jc w:val="center"/>
        </w:trPr>
        <w:tc>
          <w:tcPr>
            <w:tcW w:w="9350" w:type="dxa"/>
            <w:gridSpan w:val="4"/>
          </w:tcPr>
          <w:p w14:paraId="57EFDE01" w14:textId="5108C0D7" w:rsidR="00E65EA5" w:rsidRPr="00CC098E" w:rsidRDefault="00466589" w:rsidP="0033329D">
            <w:pPr>
              <w:jc w:val="center"/>
              <w:rPr>
                <w:sz w:val="22"/>
                <w:szCs w:val="20"/>
              </w:rPr>
            </w:pPr>
            <w:r>
              <w:rPr>
                <w:sz w:val="22"/>
                <w:szCs w:val="20"/>
              </w:rPr>
              <w:t>Scenario C</w:t>
            </w:r>
          </w:p>
        </w:tc>
      </w:tr>
      <w:tr w:rsidR="00E65EA5" w:rsidRPr="00CC098E" w14:paraId="4FD1772B" w14:textId="77777777" w:rsidTr="0033329D">
        <w:trPr>
          <w:jc w:val="center"/>
        </w:trPr>
        <w:tc>
          <w:tcPr>
            <w:tcW w:w="1435" w:type="dxa"/>
            <w:vAlign w:val="center"/>
          </w:tcPr>
          <w:p w14:paraId="2278DA03" w14:textId="77777777" w:rsidR="00E65EA5" w:rsidRPr="00CC098E" w:rsidRDefault="00E65EA5" w:rsidP="0033329D">
            <w:pPr>
              <w:spacing w:line="276" w:lineRule="auto"/>
              <w:jc w:val="center"/>
              <w:rPr>
                <w:sz w:val="22"/>
                <w:szCs w:val="20"/>
              </w:rPr>
            </w:pPr>
            <w:r w:rsidRPr="00CC098E">
              <w:rPr>
                <w:sz w:val="22"/>
                <w:szCs w:val="20"/>
              </w:rPr>
              <w:t>Metric</w:t>
            </w:r>
          </w:p>
        </w:tc>
        <w:tc>
          <w:tcPr>
            <w:tcW w:w="2638" w:type="dxa"/>
            <w:vAlign w:val="center"/>
          </w:tcPr>
          <w:p w14:paraId="115061B6" w14:textId="77777777" w:rsidR="00E65EA5" w:rsidRPr="00CC098E" w:rsidRDefault="00E65EA5" w:rsidP="0033329D">
            <w:pPr>
              <w:spacing w:line="276" w:lineRule="auto"/>
              <w:jc w:val="center"/>
              <w:rPr>
                <w:sz w:val="22"/>
                <w:szCs w:val="20"/>
              </w:rPr>
            </w:pPr>
            <w:r w:rsidRPr="00CC098E">
              <w:rPr>
                <w:sz w:val="22"/>
                <w:szCs w:val="20"/>
              </w:rPr>
              <w:t xml:space="preserve">Oil rate </w:t>
            </w:r>
            <w:r>
              <w:rPr>
                <w:sz w:val="22"/>
                <w:szCs w:val="20"/>
              </w:rPr>
              <w:t>forecast</w:t>
            </w:r>
            <w:r w:rsidRPr="00CC098E">
              <w:rPr>
                <w:sz w:val="22"/>
                <w:szCs w:val="20"/>
              </w:rPr>
              <w:t xml:space="preserve"> error</w:t>
            </w:r>
          </w:p>
        </w:tc>
        <w:tc>
          <w:tcPr>
            <w:tcW w:w="2638" w:type="dxa"/>
            <w:vAlign w:val="center"/>
          </w:tcPr>
          <w:p w14:paraId="53C13492" w14:textId="77777777" w:rsidR="00E65EA5" w:rsidRPr="00CC098E" w:rsidRDefault="00E65EA5" w:rsidP="0033329D">
            <w:pPr>
              <w:spacing w:line="276" w:lineRule="auto"/>
              <w:jc w:val="center"/>
              <w:rPr>
                <w:sz w:val="22"/>
                <w:szCs w:val="20"/>
              </w:rPr>
            </w:pPr>
            <w:r w:rsidRPr="00CC098E">
              <w:rPr>
                <w:sz w:val="22"/>
                <w:szCs w:val="20"/>
              </w:rPr>
              <w:t xml:space="preserve">Water rate </w:t>
            </w:r>
            <w:r>
              <w:rPr>
                <w:sz w:val="22"/>
                <w:szCs w:val="20"/>
              </w:rPr>
              <w:t>forecast</w:t>
            </w:r>
            <w:r w:rsidRPr="00CC098E">
              <w:rPr>
                <w:sz w:val="22"/>
                <w:szCs w:val="20"/>
              </w:rPr>
              <w:t xml:space="preserve"> error</w:t>
            </w:r>
          </w:p>
        </w:tc>
        <w:tc>
          <w:tcPr>
            <w:tcW w:w="2639" w:type="dxa"/>
            <w:vAlign w:val="center"/>
          </w:tcPr>
          <w:p w14:paraId="360A9A62" w14:textId="77777777" w:rsidR="00E65EA5" w:rsidRPr="00CC098E" w:rsidRDefault="00C028EB" w:rsidP="0033329D">
            <w:pPr>
              <w:spacing w:line="276" w:lineRule="auto"/>
              <w:jc w:val="center"/>
              <w:rPr>
                <w:sz w:val="22"/>
                <w:szCs w:val="20"/>
              </w:rPr>
            </w:pPr>
            <w:r w:rsidRPr="00C028EB">
              <w:rPr>
                <w:sz w:val="22"/>
                <w:szCs w:val="20"/>
              </w:rPr>
              <w:t>Bottom-hole pressure forecast error for injector well I1</w:t>
            </w:r>
          </w:p>
        </w:tc>
      </w:tr>
      <w:tr w:rsidR="00E65EA5" w:rsidRPr="00CC098E" w14:paraId="11FB52F4" w14:textId="77777777" w:rsidTr="0033329D">
        <w:trPr>
          <w:jc w:val="center"/>
        </w:trPr>
        <w:tc>
          <w:tcPr>
            <w:tcW w:w="1435" w:type="dxa"/>
          </w:tcPr>
          <w:p w14:paraId="31D59718" w14:textId="77777777" w:rsidR="00E65EA5" w:rsidRPr="00CC098E" w:rsidRDefault="00E65EA5" w:rsidP="0033329D">
            <w:pPr>
              <w:spacing w:line="276" w:lineRule="auto"/>
              <w:rPr>
                <w:sz w:val="22"/>
                <w:szCs w:val="20"/>
              </w:rPr>
            </w:pPr>
            <w:r w:rsidRPr="00CC098E">
              <w:rPr>
                <w:sz w:val="22"/>
                <w:szCs w:val="20"/>
              </w:rPr>
              <w:t xml:space="preserve">Benchmark </w:t>
            </w:r>
            <w:r w:rsidRPr="00CC098E">
              <w:rPr>
                <w:sz w:val="22"/>
                <w:szCs w:val="20"/>
              </w:rPr>
              <w:lastRenderedPageBreak/>
              <w:t>MAE</w:t>
            </w:r>
          </w:p>
        </w:tc>
        <w:tc>
          <w:tcPr>
            <w:tcW w:w="2638" w:type="dxa"/>
            <w:vAlign w:val="center"/>
          </w:tcPr>
          <w:p w14:paraId="6A1251D4" w14:textId="77777777" w:rsidR="00E65EA5" w:rsidRPr="00CC098E" w:rsidRDefault="00E65EA5" w:rsidP="0033329D">
            <w:pPr>
              <w:jc w:val="center"/>
              <w:rPr>
                <w:sz w:val="22"/>
                <w:szCs w:val="20"/>
              </w:rPr>
            </w:pPr>
            <w:r w:rsidRPr="00CC098E">
              <w:rPr>
                <w:rFonts w:eastAsiaTheme="minorEastAsia"/>
                <w:sz w:val="22"/>
                <w:szCs w:val="20"/>
              </w:rPr>
              <w:lastRenderedPageBreak/>
              <w:t xml:space="preserve">26.12 </w:t>
            </w:r>
            <m:oMath>
              <m:r>
                <w:rPr>
                  <w:rFonts w:ascii="Cambria Math" w:hAnsi="Cambria Math"/>
                  <w:sz w:val="22"/>
                  <w:szCs w:val="20"/>
                </w:rPr>
                <m:t>bl</m:t>
              </m:r>
            </m:oMath>
          </w:p>
        </w:tc>
        <w:tc>
          <w:tcPr>
            <w:tcW w:w="2638" w:type="dxa"/>
            <w:vAlign w:val="center"/>
          </w:tcPr>
          <w:p w14:paraId="5BDA1140" w14:textId="77777777" w:rsidR="00E65EA5" w:rsidRPr="00CC098E" w:rsidRDefault="00E65EA5" w:rsidP="0033329D">
            <w:pPr>
              <w:jc w:val="center"/>
              <w:rPr>
                <w:sz w:val="22"/>
                <w:szCs w:val="20"/>
              </w:rPr>
            </w:pPr>
            <w:r w:rsidRPr="00CC098E">
              <w:rPr>
                <w:rFonts w:eastAsiaTheme="minorEastAsia"/>
                <w:sz w:val="22"/>
                <w:szCs w:val="20"/>
              </w:rPr>
              <w:t xml:space="preserve">39.6 </w:t>
            </w:r>
            <m:oMath>
              <m:r>
                <w:rPr>
                  <w:rFonts w:ascii="Cambria Math" w:hAnsi="Cambria Math"/>
                  <w:sz w:val="22"/>
                  <w:szCs w:val="20"/>
                </w:rPr>
                <m:t>bl</m:t>
              </m:r>
            </m:oMath>
          </w:p>
        </w:tc>
        <w:tc>
          <w:tcPr>
            <w:tcW w:w="2639" w:type="dxa"/>
            <w:vAlign w:val="center"/>
          </w:tcPr>
          <w:p w14:paraId="57D498EB" w14:textId="77777777" w:rsidR="00E65EA5" w:rsidRPr="00CC098E" w:rsidRDefault="00E65EA5" w:rsidP="0033329D">
            <w:pPr>
              <w:jc w:val="center"/>
              <w:rPr>
                <w:sz w:val="22"/>
                <w:szCs w:val="20"/>
              </w:rPr>
            </w:pPr>
            <w:r w:rsidRPr="00CC098E">
              <w:rPr>
                <w:rFonts w:eastAsiaTheme="minorEastAsia"/>
                <w:sz w:val="22"/>
                <w:szCs w:val="20"/>
              </w:rPr>
              <w:t xml:space="preserve">9.5 </w:t>
            </w:r>
            <m:oMath>
              <m:r>
                <w:rPr>
                  <w:rFonts w:ascii="Cambria Math" w:hAnsi="Cambria Math"/>
                  <w:sz w:val="22"/>
                  <w:szCs w:val="20"/>
                </w:rPr>
                <m:t>psia</m:t>
              </m:r>
            </m:oMath>
          </w:p>
        </w:tc>
      </w:tr>
      <w:tr w:rsidR="00E65EA5" w:rsidRPr="00CC098E" w14:paraId="37AAC7BA" w14:textId="77777777" w:rsidTr="0033329D">
        <w:trPr>
          <w:jc w:val="center"/>
        </w:trPr>
        <w:tc>
          <w:tcPr>
            <w:tcW w:w="1435" w:type="dxa"/>
          </w:tcPr>
          <w:p w14:paraId="71AA1D79" w14:textId="77777777" w:rsidR="00E65EA5" w:rsidRPr="00CC098E" w:rsidRDefault="00E65EA5" w:rsidP="0033329D">
            <w:pPr>
              <w:spacing w:line="276" w:lineRule="auto"/>
              <w:rPr>
                <w:sz w:val="22"/>
                <w:szCs w:val="20"/>
              </w:rPr>
            </w:pPr>
            <w:r w:rsidRPr="00CC098E">
              <w:rPr>
                <w:sz w:val="22"/>
                <w:szCs w:val="20"/>
              </w:rPr>
              <w:t>Benchmark SMAPE</w:t>
            </w:r>
          </w:p>
        </w:tc>
        <w:tc>
          <w:tcPr>
            <w:tcW w:w="2638" w:type="dxa"/>
            <w:vAlign w:val="center"/>
          </w:tcPr>
          <w:p w14:paraId="2639AC0F" w14:textId="77777777" w:rsidR="00E65EA5" w:rsidRPr="00CC098E" w:rsidRDefault="00E65EA5" w:rsidP="0033329D">
            <w:pPr>
              <w:jc w:val="center"/>
              <w:rPr>
                <w:sz w:val="22"/>
                <w:szCs w:val="20"/>
              </w:rPr>
            </w:pPr>
            <w:r w:rsidRPr="00CC098E">
              <w:rPr>
                <w:sz w:val="22"/>
                <w:szCs w:val="20"/>
              </w:rPr>
              <w:t>1.16 %</w:t>
            </w:r>
          </w:p>
        </w:tc>
        <w:tc>
          <w:tcPr>
            <w:tcW w:w="2638" w:type="dxa"/>
            <w:vAlign w:val="center"/>
          </w:tcPr>
          <w:p w14:paraId="0D8A9418" w14:textId="77777777" w:rsidR="00E65EA5" w:rsidRPr="00CC098E" w:rsidRDefault="00E65EA5" w:rsidP="0033329D">
            <w:pPr>
              <w:jc w:val="center"/>
              <w:rPr>
                <w:sz w:val="22"/>
                <w:szCs w:val="20"/>
              </w:rPr>
            </w:pPr>
            <w:r w:rsidRPr="00CC098E">
              <w:rPr>
                <w:sz w:val="22"/>
                <w:szCs w:val="20"/>
              </w:rPr>
              <w:t>2.3 %</w:t>
            </w:r>
          </w:p>
        </w:tc>
        <w:tc>
          <w:tcPr>
            <w:tcW w:w="2639" w:type="dxa"/>
            <w:vAlign w:val="center"/>
          </w:tcPr>
          <w:p w14:paraId="18600BA0" w14:textId="77777777" w:rsidR="00E65EA5" w:rsidRPr="00CC098E" w:rsidRDefault="00E65EA5" w:rsidP="0033329D">
            <w:pPr>
              <w:jc w:val="center"/>
              <w:rPr>
                <w:sz w:val="22"/>
                <w:szCs w:val="20"/>
              </w:rPr>
            </w:pPr>
            <w:r w:rsidRPr="00CC098E">
              <w:rPr>
                <w:sz w:val="22"/>
                <w:szCs w:val="20"/>
              </w:rPr>
              <w:t>3 %</w:t>
            </w:r>
          </w:p>
        </w:tc>
      </w:tr>
      <w:tr w:rsidR="00E65EA5" w:rsidRPr="00CC098E" w14:paraId="086573B6" w14:textId="77777777" w:rsidTr="0033329D">
        <w:trPr>
          <w:jc w:val="center"/>
        </w:trPr>
        <w:tc>
          <w:tcPr>
            <w:tcW w:w="1435" w:type="dxa"/>
          </w:tcPr>
          <w:p w14:paraId="2DBCF2CD" w14:textId="77777777" w:rsidR="00E65EA5" w:rsidRPr="00CC098E" w:rsidRDefault="00E65EA5" w:rsidP="0033329D">
            <w:pPr>
              <w:spacing w:line="276" w:lineRule="auto"/>
              <w:rPr>
                <w:sz w:val="22"/>
                <w:szCs w:val="20"/>
              </w:rPr>
            </w:pPr>
            <w:r w:rsidRPr="00CC098E">
              <w:rPr>
                <w:sz w:val="22"/>
                <w:szCs w:val="20"/>
              </w:rPr>
              <w:t>MAE</w:t>
            </w:r>
          </w:p>
        </w:tc>
        <w:tc>
          <w:tcPr>
            <w:tcW w:w="2638" w:type="dxa"/>
            <w:vAlign w:val="center"/>
          </w:tcPr>
          <w:p w14:paraId="44BB8035" w14:textId="77777777" w:rsidR="00E65EA5" w:rsidRPr="00CC098E" w:rsidRDefault="00E65EA5" w:rsidP="0033329D">
            <w:pPr>
              <w:jc w:val="center"/>
              <w:rPr>
                <w:sz w:val="22"/>
                <w:szCs w:val="20"/>
              </w:rPr>
            </w:pPr>
            <w:r w:rsidRPr="00CC098E">
              <w:rPr>
                <w:rFonts w:eastAsiaTheme="minorEastAsia"/>
                <w:sz w:val="22"/>
                <w:szCs w:val="20"/>
              </w:rPr>
              <w:t xml:space="preserve">5.7 </w:t>
            </w:r>
            <m:oMath>
              <m:r>
                <w:rPr>
                  <w:rFonts w:ascii="Cambria Math" w:hAnsi="Cambria Math"/>
                  <w:sz w:val="22"/>
                  <w:szCs w:val="20"/>
                </w:rPr>
                <m:t>bl</m:t>
              </m:r>
            </m:oMath>
          </w:p>
        </w:tc>
        <w:tc>
          <w:tcPr>
            <w:tcW w:w="2638" w:type="dxa"/>
            <w:vAlign w:val="center"/>
          </w:tcPr>
          <w:p w14:paraId="68325402" w14:textId="77777777" w:rsidR="00E65EA5" w:rsidRPr="00CC098E" w:rsidRDefault="00E65EA5" w:rsidP="0033329D">
            <w:pPr>
              <w:jc w:val="center"/>
              <w:rPr>
                <w:sz w:val="22"/>
                <w:szCs w:val="20"/>
              </w:rPr>
            </w:pPr>
            <w:r w:rsidRPr="00CC098E">
              <w:rPr>
                <w:rFonts w:eastAsiaTheme="minorEastAsia"/>
                <w:sz w:val="22"/>
                <w:szCs w:val="20"/>
              </w:rPr>
              <w:t xml:space="preserve">8.14 </w:t>
            </w:r>
            <m:oMath>
              <m:r>
                <w:rPr>
                  <w:rFonts w:ascii="Cambria Math" w:hAnsi="Cambria Math"/>
                  <w:sz w:val="22"/>
                  <w:szCs w:val="20"/>
                </w:rPr>
                <m:t>bl</m:t>
              </m:r>
            </m:oMath>
          </w:p>
        </w:tc>
        <w:tc>
          <w:tcPr>
            <w:tcW w:w="2639" w:type="dxa"/>
            <w:vAlign w:val="center"/>
          </w:tcPr>
          <w:p w14:paraId="6DCDBA00" w14:textId="77777777" w:rsidR="00E65EA5" w:rsidRPr="00CC098E" w:rsidRDefault="00E65EA5" w:rsidP="0033329D">
            <w:pPr>
              <w:jc w:val="center"/>
              <w:rPr>
                <w:sz w:val="22"/>
                <w:szCs w:val="20"/>
              </w:rPr>
            </w:pPr>
            <w:r w:rsidRPr="00CC098E">
              <w:rPr>
                <w:rFonts w:eastAsiaTheme="minorEastAsia"/>
                <w:sz w:val="22"/>
                <w:szCs w:val="20"/>
              </w:rPr>
              <w:t xml:space="preserve">6 </w:t>
            </w:r>
            <m:oMath>
              <m:r>
                <w:rPr>
                  <w:rFonts w:ascii="Cambria Math" w:hAnsi="Cambria Math"/>
                  <w:sz w:val="22"/>
                  <w:szCs w:val="20"/>
                </w:rPr>
                <m:t>psia</m:t>
              </m:r>
            </m:oMath>
          </w:p>
        </w:tc>
      </w:tr>
      <w:tr w:rsidR="00E65EA5" w:rsidRPr="00CC098E" w14:paraId="3386203A" w14:textId="77777777" w:rsidTr="0033329D">
        <w:trPr>
          <w:jc w:val="center"/>
        </w:trPr>
        <w:tc>
          <w:tcPr>
            <w:tcW w:w="1435" w:type="dxa"/>
          </w:tcPr>
          <w:p w14:paraId="3714BB33" w14:textId="77777777" w:rsidR="00E65EA5" w:rsidRPr="00CC098E" w:rsidRDefault="00E65EA5" w:rsidP="0033329D">
            <w:pPr>
              <w:spacing w:line="276" w:lineRule="auto"/>
              <w:rPr>
                <w:sz w:val="22"/>
                <w:szCs w:val="20"/>
              </w:rPr>
            </w:pPr>
            <w:r w:rsidRPr="00CC098E">
              <w:rPr>
                <w:sz w:val="22"/>
                <w:szCs w:val="20"/>
              </w:rPr>
              <w:t>SMAPE</w:t>
            </w:r>
          </w:p>
        </w:tc>
        <w:tc>
          <w:tcPr>
            <w:tcW w:w="2638" w:type="dxa"/>
            <w:vAlign w:val="center"/>
          </w:tcPr>
          <w:p w14:paraId="315E6234" w14:textId="77777777" w:rsidR="00E65EA5" w:rsidRPr="00CC098E" w:rsidRDefault="00E65EA5" w:rsidP="0033329D">
            <w:pPr>
              <w:jc w:val="center"/>
              <w:rPr>
                <w:sz w:val="22"/>
                <w:szCs w:val="20"/>
              </w:rPr>
            </w:pPr>
            <w:r w:rsidRPr="00CC098E">
              <w:rPr>
                <w:sz w:val="22"/>
                <w:szCs w:val="20"/>
              </w:rPr>
              <w:t>1.15 %</w:t>
            </w:r>
          </w:p>
        </w:tc>
        <w:tc>
          <w:tcPr>
            <w:tcW w:w="2638" w:type="dxa"/>
            <w:vAlign w:val="center"/>
          </w:tcPr>
          <w:p w14:paraId="0CEA3418" w14:textId="77777777" w:rsidR="00E65EA5" w:rsidRPr="00CC098E" w:rsidRDefault="00E65EA5" w:rsidP="0033329D">
            <w:pPr>
              <w:jc w:val="center"/>
              <w:rPr>
                <w:sz w:val="22"/>
                <w:szCs w:val="20"/>
              </w:rPr>
            </w:pPr>
            <w:r w:rsidRPr="00CC098E">
              <w:rPr>
                <w:sz w:val="22"/>
                <w:szCs w:val="20"/>
              </w:rPr>
              <w:t>2.2 %</w:t>
            </w:r>
          </w:p>
        </w:tc>
        <w:tc>
          <w:tcPr>
            <w:tcW w:w="2639" w:type="dxa"/>
            <w:vAlign w:val="center"/>
          </w:tcPr>
          <w:p w14:paraId="0FDD2FF9" w14:textId="77777777" w:rsidR="00E65EA5" w:rsidRPr="00CC098E" w:rsidRDefault="00E65EA5" w:rsidP="0033329D">
            <w:pPr>
              <w:jc w:val="center"/>
              <w:rPr>
                <w:sz w:val="22"/>
                <w:szCs w:val="20"/>
              </w:rPr>
            </w:pPr>
            <w:r w:rsidRPr="00CC098E">
              <w:rPr>
                <w:sz w:val="22"/>
                <w:szCs w:val="20"/>
              </w:rPr>
              <w:t>0.1 %</w:t>
            </w:r>
          </w:p>
        </w:tc>
      </w:tr>
    </w:tbl>
    <w:p w14:paraId="3B8F1076" w14:textId="1B416684" w:rsidR="00E65EA5" w:rsidRPr="00062A9C" w:rsidRDefault="00E65EA5" w:rsidP="00E65EA5">
      <w:r>
        <w:t xml:space="preserve">To improve the interpretability of results in </w:t>
      </w:r>
      <w:r>
        <w:fldChar w:fldCharType="begin"/>
      </w:r>
      <w:r>
        <w:instrText xml:space="preserve"> REF _Ref127201884 \h </w:instrText>
      </w:r>
      <w:r>
        <w:fldChar w:fldCharType="separate"/>
      </w:r>
      <w:r w:rsidR="00B11BFB">
        <w:t xml:space="preserve">Figure </w:t>
      </w:r>
      <w:r w:rsidR="00B11BFB">
        <w:rPr>
          <w:noProof/>
        </w:rPr>
        <w:t>22</w:t>
      </w:r>
      <w:r>
        <w:fldChar w:fldCharType="end"/>
      </w:r>
      <w:r>
        <w:t>, we construct</w:t>
      </w:r>
      <w:r w:rsidRPr="00062A9C">
        <w:t xml:space="preserve"> </w:t>
      </w:r>
      <w:r>
        <w:fldChar w:fldCharType="begin"/>
      </w:r>
      <w:r>
        <w:instrText xml:space="preserve"> REF _Ref127201894 \h </w:instrText>
      </w:r>
      <w:r>
        <w:fldChar w:fldCharType="separate"/>
      </w:r>
      <w:r w:rsidR="00B11BFB">
        <w:t xml:space="preserve">Figure </w:t>
      </w:r>
      <w:r w:rsidR="00B11BFB">
        <w:rPr>
          <w:noProof/>
        </w:rPr>
        <w:t>23</w:t>
      </w:r>
      <w:r>
        <w:fldChar w:fldCharType="end"/>
      </w:r>
      <w:r>
        <w:t xml:space="preserve">, where we plot the Shapley encoder and decoder </w:t>
      </w:r>
      <w:r w:rsidR="00A97033">
        <w:t xml:space="preserve">predictor feature </w:t>
      </w:r>
      <w:r>
        <w:t>importance. In</w:t>
      </w:r>
      <w:r w:rsidRPr="00062A9C">
        <w:t xml:space="preserve"> subfigure a), we show the </w:t>
      </w:r>
      <w:r>
        <w:t xml:space="preserve">Shapley </w:t>
      </w:r>
      <w:r w:rsidRPr="00062A9C">
        <w:t xml:space="preserve">encoder </w:t>
      </w:r>
      <w:r w:rsidR="00A97033">
        <w:t>predictor feature</w:t>
      </w:r>
      <w:r w:rsidRPr="00062A9C">
        <w:t xml:space="preserve"> importance </w:t>
      </w:r>
      <w:r>
        <w:t>at 175 days</w:t>
      </w:r>
      <w:r w:rsidRPr="00062A9C">
        <w:t xml:space="preserve">. The highest importance is given to the total oil rate, followed by the </w:t>
      </w:r>
      <w:r>
        <w:t>injector rate</w:t>
      </w:r>
      <w:r w:rsidR="00FE34FD">
        <w:t xml:space="preserve"> and our two proposed location-based </w:t>
      </w:r>
      <w:r w:rsidR="003970C1">
        <w:t>predictor features</w:t>
      </w:r>
      <w:r w:rsidRPr="00062A9C">
        <w:t>. In subfigure b), we show the</w:t>
      </w:r>
      <w:r>
        <w:t xml:space="preserve"> Shapley</w:t>
      </w:r>
      <w:r w:rsidRPr="00062A9C">
        <w:t xml:space="preserve"> decoder </w:t>
      </w:r>
      <w:r w:rsidR="00A97033">
        <w:t>predictor feature</w:t>
      </w:r>
      <w:r w:rsidR="00A97033" w:rsidRPr="00062A9C" w:rsidDel="00A97033">
        <w:t xml:space="preserve"> </w:t>
      </w:r>
      <w:r w:rsidRPr="00062A9C">
        <w:t xml:space="preserve">importance. The </w:t>
      </w:r>
      <w:r w:rsidR="001522D2">
        <w:t xml:space="preserve">cumulative injection rate and well porosity </w:t>
      </w:r>
      <w:r w:rsidR="00BB5A1F">
        <w:t>have</w:t>
      </w:r>
      <w:r w:rsidR="001522D2">
        <w:t xml:space="preserve"> the highest importance</w:t>
      </w:r>
      <w:r w:rsidRPr="00062A9C">
        <w:t xml:space="preserve">. In subplot c), we show the static </w:t>
      </w:r>
      <w:r w:rsidR="00A97033">
        <w:t>predictor feature</w:t>
      </w:r>
      <w:r w:rsidR="00A97033" w:rsidRPr="00062A9C" w:rsidDel="00A97033">
        <w:t xml:space="preserve"> </w:t>
      </w:r>
      <w:r w:rsidRPr="00062A9C">
        <w:t xml:space="preserve">importance where the position in </w:t>
      </w:r>
      <m:oMath>
        <m:r>
          <w:rPr>
            <w:rFonts w:ascii="Cambria Math" w:hAnsi="Cambria Math"/>
          </w:rPr>
          <m:t>x</m:t>
        </m:r>
      </m:oMath>
      <w:r w:rsidRPr="00062A9C">
        <w:t xml:space="preserve"> ha</w:t>
      </w:r>
      <w:r>
        <w:t>s</w:t>
      </w:r>
      <w:r w:rsidRPr="00062A9C">
        <w:t xml:space="preserve"> the highest </w:t>
      </w:r>
      <w:r w:rsidR="00A97033">
        <w:t>predictor feature</w:t>
      </w:r>
      <w:r w:rsidR="00A97033" w:rsidRPr="00062A9C" w:rsidDel="00A97033">
        <w:t xml:space="preserve"> </w:t>
      </w:r>
      <w:r w:rsidRPr="00062A9C">
        <w:t>importance.</w:t>
      </w:r>
      <w:r>
        <w:t xml:space="preserve"> The use of our proposed workflow and our </w:t>
      </w:r>
      <w:r w:rsidR="005B64DB">
        <w:t xml:space="preserve">results </w:t>
      </w:r>
      <w:r>
        <w:t xml:space="preserve">on </w:t>
      </w:r>
      <w:r w:rsidR="00A83979">
        <w:t>decoder prediction length</w:t>
      </w:r>
      <w:r>
        <w:t xml:space="preserve"> minimizes the importance of the encoder length. </w:t>
      </w:r>
      <w:r>
        <w:fldChar w:fldCharType="begin"/>
      </w:r>
      <w:r>
        <w:instrText xml:space="preserve"> REF _Ref127201901 \h </w:instrText>
      </w:r>
      <w:r>
        <w:fldChar w:fldCharType="separate"/>
      </w:r>
      <w:r w:rsidR="00B11BFB">
        <w:t xml:space="preserve">Figure </w:t>
      </w:r>
      <w:r w:rsidR="00B11BFB">
        <w:rPr>
          <w:noProof/>
        </w:rPr>
        <w:t>24</w:t>
      </w:r>
      <w:r>
        <w:fldChar w:fldCharType="end"/>
      </w:r>
      <w:r>
        <w:t xml:space="preserve"> shows</w:t>
      </w:r>
      <w:r w:rsidRPr="00062A9C">
        <w:t xml:space="preserve"> the </w:t>
      </w:r>
      <w:r>
        <w:t>forecast</w:t>
      </w:r>
      <w:r w:rsidRPr="00062A9C">
        <w:t xml:space="preserve">s of bottom-hole pressure for </w:t>
      </w:r>
      <w:r>
        <w:t>well I1 at 175 days</w:t>
      </w:r>
      <w:r w:rsidRPr="00062A9C">
        <w:t xml:space="preserve">. We observe </w:t>
      </w:r>
      <w:r>
        <w:t>high</w:t>
      </w:r>
      <w:r w:rsidRPr="00062A9C">
        <w:t xml:space="preserve"> uncertainty in the </w:t>
      </w:r>
      <w:r>
        <w:t>estimates</w:t>
      </w:r>
      <w:r w:rsidRPr="00062A9C">
        <w:t xml:space="preserve"> as indicated by the P10 and P90 confidence intervals. In a secondary axis, we include the attention</w:t>
      </w:r>
      <w:r>
        <w:t xml:space="preserve"> head</w:t>
      </w:r>
      <w:r w:rsidRPr="00062A9C">
        <w:t xml:space="preserve"> weights</w:t>
      </w:r>
      <w:r>
        <w:t xml:space="preserve">. </w:t>
      </w:r>
      <w:r>
        <w:fldChar w:fldCharType="begin"/>
      </w:r>
      <w:r>
        <w:instrText xml:space="preserve"> REF _Ref127201894 \h </w:instrText>
      </w:r>
      <w:r>
        <w:fldChar w:fldCharType="separate"/>
      </w:r>
      <w:r w:rsidR="00B11BFB">
        <w:t xml:space="preserve">Figure </w:t>
      </w:r>
      <w:r w:rsidR="00B11BFB">
        <w:rPr>
          <w:noProof/>
        </w:rPr>
        <w:t>23</w:t>
      </w:r>
      <w:r>
        <w:fldChar w:fldCharType="end"/>
      </w:r>
      <w:r>
        <w:t xml:space="preserve"> shows the Shapley importance of the encoder and decoder </w:t>
      </w:r>
      <w:r w:rsidR="00A97033">
        <w:t>predictor features</w:t>
      </w:r>
      <w:r w:rsidR="00F00DF2">
        <w:t>. W</w:t>
      </w:r>
      <w:r>
        <w:t xml:space="preserve">hen forecasting injection pressure, the cumulative injection rate becomes the most </w:t>
      </w:r>
      <w:r w:rsidR="00F00DF2">
        <w:t>critical</w:t>
      </w:r>
      <w:r>
        <w:t xml:space="preserve"> </w:t>
      </w:r>
      <w:r w:rsidR="0073775F">
        <w:t>predictor feature</w:t>
      </w:r>
      <w:r>
        <w:t xml:space="preserve"> during decoding</w:t>
      </w:r>
      <w:r w:rsidR="00F00DF2">
        <w:t>,</w:t>
      </w:r>
      <w:r>
        <w:t xml:space="preserve"> followed by porosity.</w:t>
      </w:r>
      <w:r w:rsidR="005078AE">
        <w:t xml:space="preserve"> </w:t>
      </w:r>
      <w:r w:rsidR="008F417E">
        <w:t>Finally</w:t>
      </w:r>
      <w:r w:rsidR="0025332D">
        <w:t>,</w:t>
      </w:r>
      <w:r w:rsidR="008F417E">
        <w:t xml:space="preserve"> in </w:t>
      </w:r>
      <w:r w:rsidR="00A87B0C">
        <w:fldChar w:fldCharType="begin"/>
      </w:r>
      <w:r w:rsidR="00A87B0C">
        <w:instrText xml:space="preserve"> REF _Ref129115144 \h </w:instrText>
      </w:r>
      <w:r w:rsidR="00A87B0C">
        <w:fldChar w:fldCharType="separate"/>
      </w:r>
      <w:r w:rsidR="00B11BFB">
        <w:t xml:space="preserve">Figure </w:t>
      </w:r>
      <w:r w:rsidR="00B11BFB">
        <w:rPr>
          <w:noProof/>
        </w:rPr>
        <w:t>25</w:t>
      </w:r>
      <w:r w:rsidR="00A87B0C">
        <w:fldChar w:fldCharType="end"/>
      </w:r>
      <w:r w:rsidR="00A25B08">
        <w:t xml:space="preserve"> sub</w:t>
      </w:r>
      <w:r w:rsidR="000450A1">
        <w:t>figure</w:t>
      </w:r>
      <w:r w:rsidR="00A25B08">
        <w:t xml:space="preserve"> a)</w:t>
      </w:r>
      <w:r w:rsidR="00F00DF2">
        <w:t>,</w:t>
      </w:r>
      <w:r w:rsidR="00A87B0C">
        <w:t xml:space="preserve"> we show the production history forecast of well P1</w:t>
      </w:r>
      <w:r w:rsidR="00A25B08">
        <w:t>. In black</w:t>
      </w:r>
      <w:r w:rsidR="00F00DF2">
        <w:t>,</w:t>
      </w:r>
      <w:r w:rsidR="00A25B08">
        <w:t xml:space="preserve"> we show the measured points</w:t>
      </w:r>
      <w:r w:rsidR="00F00DF2">
        <w:t>;</w:t>
      </w:r>
      <w:r w:rsidR="000450A1">
        <w:t xml:space="preserve"> in red</w:t>
      </w:r>
      <w:r w:rsidR="00F00DF2">
        <w:t>, we show the predicted values with the TFT-based surrogate flow model; in gray,</w:t>
      </w:r>
      <w:r w:rsidR="000450A1">
        <w:t xml:space="preserve"> we show the P10 and P90. To compl</w:t>
      </w:r>
      <w:r w:rsidR="00900DDF">
        <w:t>e</w:t>
      </w:r>
      <w:r w:rsidR="000450A1">
        <w:t>ment subfigure a)</w:t>
      </w:r>
      <w:r w:rsidR="003653AC">
        <w:t>,</w:t>
      </w:r>
      <w:r w:rsidR="00054D5F">
        <w:t xml:space="preserve"> we plot the </w:t>
      </w:r>
      <w:r w:rsidR="0028038A">
        <w:t>SHAP</w:t>
      </w:r>
      <w:r w:rsidR="00054D5F">
        <w:t xml:space="preserve"> values in subfigure b)</w:t>
      </w:r>
      <w:r w:rsidR="003653AC">
        <w:t>. T</w:t>
      </w:r>
      <w:r w:rsidR="00950919">
        <w:t xml:space="preserve">he </w:t>
      </w:r>
      <w:r w:rsidR="0028038A">
        <w:t xml:space="preserve">SHAP </w:t>
      </w:r>
      <w:r w:rsidR="00A8470E">
        <w:t>values are used to</w:t>
      </w:r>
      <w:r w:rsidR="003653AC">
        <w:t xml:space="preserve"> measure the</w:t>
      </w:r>
      <w:r w:rsidR="00A8470E">
        <w:t xml:space="preserve"> </w:t>
      </w:r>
      <w:r w:rsidR="00EB2FD3">
        <w:t>effect of the predictor features on the forecasted values at every time step.</w:t>
      </w:r>
      <w:r w:rsidR="007D2D73">
        <w:t xml:space="preserve"> </w:t>
      </w:r>
    </w:p>
    <w:p w14:paraId="7A774BF7" w14:textId="408F481C" w:rsidR="00E65EA5" w:rsidRDefault="001F36C2" w:rsidP="00E65EA5">
      <w:pPr>
        <w:pStyle w:val="Figures"/>
        <w:keepNext/>
      </w:pPr>
      <w:r>
        <w:rPr>
          <w:noProof/>
        </w:rPr>
        <w:lastRenderedPageBreak/>
        <w:drawing>
          <wp:inline distT="0" distB="0" distL="0" distR="0" wp14:anchorId="127E09D4" wp14:editId="6480E99E">
            <wp:extent cx="5932805" cy="594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2805" cy="5943600"/>
                    </a:xfrm>
                    <a:prstGeom prst="rect">
                      <a:avLst/>
                    </a:prstGeom>
                    <a:noFill/>
                    <a:ln>
                      <a:noFill/>
                    </a:ln>
                  </pic:spPr>
                </pic:pic>
              </a:graphicData>
            </a:graphic>
          </wp:inline>
        </w:drawing>
      </w:r>
    </w:p>
    <w:p w14:paraId="4DAA3F69" w14:textId="20414D4B" w:rsidR="00E65EA5" w:rsidRDefault="00E65EA5" w:rsidP="003D0579">
      <w:pPr>
        <w:pStyle w:val="Caption"/>
      </w:pPr>
      <w:bookmarkStart w:id="40" w:name="_Ref127201894"/>
      <w:r>
        <w:t xml:space="preserve">Figure </w:t>
      </w:r>
      <w:fldSimple w:instr=" SEQ Figure \* ARABIC ">
        <w:r w:rsidR="00B11BFB">
          <w:rPr>
            <w:noProof/>
          </w:rPr>
          <w:t>23</w:t>
        </w:r>
      </w:fldSimple>
      <w:bookmarkEnd w:id="40"/>
      <w:r w:rsidRPr="00062A9C">
        <w:t xml:space="preserve">.- </w:t>
      </w:r>
      <w:r w:rsidR="00B52880">
        <w:t xml:space="preserve">Summary of </w:t>
      </w:r>
      <w:r w:rsidR="00476AB1">
        <w:t>predictor feature</w:t>
      </w:r>
      <w:r w:rsidR="00B52880">
        <w:t xml:space="preserve"> importance for </w:t>
      </w:r>
      <w:r w:rsidR="00F96F12">
        <w:t>s</w:t>
      </w:r>
      <w:r w:rsidR="00B52880">
        <w:t>cenario C</w:t>
      </w:r>
      <w:r w:rsidRPr="00062A9C">
        <w:t>, in a) we show the</w:t>
      </w:r>
      <w:r w:rsidR="007D6848">
        <w:t xml:space="preserve"> Shapley</w:t>
      </w:r>
      <w:r w:rsidRPr="00062A9C">
        <w:t xml:space="preserve"> encoder </w:t>
      </w:r>
      <w:r w:rsidR="00476AB1">
        <w:t>predictor feature</w:t>
      </w:r>
      <w:r w:rsidRPr="00062A9C">
        <w:t xml:space="preserve"> importance</w:t>
      </w:r>
      <w:r>
        <w:t xml:space="preserve"> where the oil rate, injector rate</w:t>
      </w:r>
      <w:r w:rsidR="00D54353">
        <w:t>,</w:t>
      </w:r>
      <w:r>
        <w:t xml:space="preserve"> and the two proposed predictor features have the highest </w:t>
      </w:r>
      <w:r w:rsidR="00476AB1">
        <w:t>predictor feature</w:t>
      </w:r>
      <w:r>
        <w:t xml:space="preserve"> importance. </w:t>
      </w:r>
      <w:r w:rsidRPr="00062A9C">
        <w:t>In b) we show the</w:t>
      </w:r>
      <w:r w:rsidR="007F50E2">
        <w:t xml:space="preserve"> </w:t>
      </w:r>
      <w:r w:rsidR="00286DB9">
        <w:t>Shapley</w:t>
      </w:r>
      <w:r w:rsidRPr="00062A9C">
        <w:t xml:space="preserve"> decoder </w:t>
      </w:r>
      <w:r w:rsidR="00476AB1">
        <w:t xml:space="preserve">predictor </w:t>
      </w:r>
      <w:proofErr w:type="gramStart"/>
      <w:r w:rsidR="00476AB1">
        <w:t>feature</w:t>
      </w:r>
      <w:proofErr w:type="gramEnd"/>
      <w:r w:rsidRPr="00062A9C">
        <w:t xml:space="preserve"> importance</w:t>
      </w:r>
      <w:r>
        <w:t xml:space="preserve"> where the cumulative injection rate is the most important </w:t>
      </w:r>
      <w:r w:rsidR="00E04B75">
        <w:t>predictor feature</w:t>
      </w:r>
      <w:r>
        <w:t>. I</w:t>
      </w:r>
      <w:r w:rsidRPr="00062A9C">
        <w:t xml:space="preserve">n c) we show the static </w:t>
      </w:r>
      <w:r w:rsidR="00E04B75">
        <w:t>predictor feature</w:t>
      </w:r>
      <w:r w:rsidRPr="00062A9C">
        <w:t xml:space="preserve"> importance</w:t>
      </w:r>
      <w:r>
        <w:t xml:space="preserve">, where the position in x is the most important </w:t>
      </w:r>
      <w:r w:rsidR="00E04B75">
        <w:t>predictor feature</w:t>
      </w:r>
      <w:r>
        <w:t>.</w:t>
      </w:r>
    </w:p>
    <w:p w14:paraId="174F8294" w14:textId="77777777" w:rsidR="00E65EA5" w:rsidRDefault="00E65EA5" w:rsidP="00E65EA5">
      <w:pPr>
        <w:keepNext/>
      </w:pPr>
      <w:r>
        <w:rPr>
          <w:noProof/>
        </w:rPr>
        <w:lastRenderedPageBreak/>
        <w:drawing>
          <wp:inline distT="0" distB="0" distL="0" distR="0" wp14:anchorId="42B9259E" wp14:editId="53E4E3B5">
            <wp:extent cx="5937885" cy="3942715"/>
            <wp:effectExtent l="0" t="0" r="5715" b="635"/>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3942715"/>
                    </a:xfrm>
                    <a:prstGeom prst="rect">
                      <a:avLst/>
                    </a:prstGeom>
                    <a:noFill/>
                    <a:ln>
                      <a:noFill/>
                    </a:ln>
                  </pic:spPr>
                </pic:pic>
              </a:graphicData>
            </a:graphic>
          </wp:inline>
        </w:drawing>
      </w:r>
    </w:p>
    <w:p w14:paraId="60511CAA" w14:textId="72F51B7C" w:rsidR="003D66DC" w:rsidRDefault="00E65EA5" w:rsidP="00C670C5">
      <w:pPr>
        <w:pStyle w:val="Caption"/>
      </w:pPr>
      <w:bookmarkStart w:id="41" w:name="_Ref127201901"/>
      <w:r>
        <w:t xml:space="preserve">Figure </w:t>
      </w:r>
      <w:fldSimple w:instr=" SEQ Figure \* ARABIC ">
        <w:r w:rsidR="00B11BFB">
          <w:rPr>
            <w:noProof/>
          </w:rPr>
          <w:t>24</w:t>
        </w:r>
      </w:fldSimple>
      <w:bookmarkEnd w:id="41"/>
      <w:r w:rsidRPr="00062A9C">
        <w:t>.- Bottom</w:t>
      </w:r>
      <w:r w:rsidR="007D0D32">
        <w:t>-</w:t>
      </w:r>
      <w:r w:rsidRPr="00062A9C">
        <w:t xml:space="preserve">hole </w:t>
      </w:r>
      <w:r>
        <w:t>forecast</w:t>
      </w:r>
      <w:r w:rsidRPr="00062A9C">
        <w:t>s of pressure</w:t>
      </w:r>
      <w:r w:rsidR="008F7783">
        <w:t xml:space="preserve"> </w:t>
      </w:r>
      <w:r w:rsidR="00C8242E">
        <w:t xml:space="preserve">of </w:t>
      </w:r>
      <w:r w:rsidRPr="00062A9C">
        <w:t>the injector well I1. We include in a secondary axis the attention</w:t>
      </w:r>
      <w:r w:rsidR="00A05F04">
        <w:t xml:space="preserve"> head</w:t>
      </w:r>
      <w:r w:rsidRPr="00062A9C">
        <w:t xml:space="preserve"> weights.</w:t>
      </w:r>
    </w:p>
    <w:p w14:paraId="22C588BD" w14:textId="77777777" w:rsidR="00E54CE3" w:rsidRDefault="00D62B8E" w:rsidP="00D62B8E">
      <w:r>
        <w:rPr>
          <w:noProof/>
        </w:rPr>
        <w:lastRenderedPageBreak/>
        <w:drawing>
          <wp:inline distT="0" distB="0" distL="0" distR="0" wp14:anchorId="0F007145" wp14:editId="1F0627BB">
            <wp:extent cx="5936615" cy="6087110"/>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6615" cy="6087110"/>
                    </a:xfrm>
                    <a:prstGeom prst="rect">
                      <a:avLst/>
                    </a:prstGeom>
                    <a:noFill/>
                    <a:ln>
                      <a:noFill/>
                    </a:ln>
                  </pic:spPr>
                </pic:pic>
              </a:graphicData>
            </a:graphic>
          </wp:inline>
        </w:drawing>
      </w:r>
    </w:p>
    <w:p w14:paraId="0F1B927B" w14:textId="77777777" w:rsidR="008132E5" w:rsidRPr="003D66DC" w:rsidRDefault="00E54CE3" w:rsidP="003D0579">
      <w:pPr>
        <w:pStyle w:val="Caption"/>
      </w:pPr>
      <w:bookmarkStart w:id="42" w:name="_Ref129115144"/>
      <w:r>
        <w:t xml:space="preserve">Figure </w:t>
      </w:r>
      <w:fldSimple w:instr=" SEQ Figure \* ARABIC ">
        <w:r w:rsidR="00B11BFB">
          <w:rPr>
            <w:noProof/>
          </w:rPr>
          <w:t>25</w:t>
        </w:r>
      </w:fldSimple>
      <w:bookmarkEnd w:id="42"/>
      <w:r w:rsidR="00D62B8E">
        <w:t xml:space="preserve"> </w:t>
      </w:r>
      <w:r w:rsidR="007D2D73">
        <w:t>–</w:t>
      </w:r>
      <w:r w:rsidR="00D62B8E">
        <w:t xml:space="preserve"> </w:t>
      </w:r>
      <w:r w:rsidR="007D2D73">
        <w:t>Production history forecast of well P1.</w:t>
      </w:r>
      <w:r w:rsidR="00AF21C2">
        <w:t xml:space="preserve"> Subfigure a) shows the production history forecast of well P1. In black</w:t>
      </w:r>
      <w:r w:rsidR="003653AC">
        <w:t>,</w:t>
      </w:r>
      <w:r w:rsidR="00AF21C2">
        <w:t xml:space="preserve"> we show the measured points</w:t>
      </w:r>
      <w:r w:rsidR="003653AC">
        <w:t>;</w:t>
      </w:r>
      <w:r w:rsidR="00AF21C2">
        <w:t xml:space="preserve"> in red</w:t>
      </w:r>
      <w:r w:rsidR="003653AC">
        <w:t>,</w:t>
      </w:r>
      <w:r w:rsidR="00AF21C2">
        <w:t xml:space="preserve"> we show the predicted values</w:t>
      </w:r>
      <w:r w:rsidR="003653AC">
        <w:t>;</w:t>
      </w:r>
      <w:r w:rsidR="00445BD1">
        <w:t xml:space="preserve"> </w:t>
      </w:r>
      <w:r w:rsidR="00AF21C2">
        <w:t>in gray</w:t>
      </w:r>
      <w:r w:rsidR="003653AC">
        <w:t>,</w:t>
      </w:r>
      <w:r w:rsidR="00AF21C2">
        <w:t xml:space="preserve"> we show the P10 and P90</w:t>
      </w:r>
      <w:r w:rsidR="00445BD1">
        <w:t>.</w:t>
      </w:r>
      <w:r w:rsidR="00D8500D">
        <w:t xml:space="preserve"> Subfigure b) shows the SHAP values for 4 predictor features</w:t>
      </w:r>
      <w:r w:rsidR="00746F46">
        <w:t>.</w:t>
      </w:r>
    </w:p>
    <w:p w14:paraId="2FCF27AA" w14:textId="77777777" w:rsidR="009F5F8A" w:rsidRPr="00062A9C" w:rsidRDefault="00F21CFE" w:rsidP="009F5F8A">
      <w:pPr>
        <w:pStyle w:val="Heading1"/>
      </w:pPr>
      <w:r w:rsidRPr="00062A9C">
        <w:lastRenderedPageBreak/>
        <w:t>Conclusions</w:t>
      </w:r>
      <w:r w:rsidR="006826B0">
        <w:t xml:space="preserve"> </w:t>
      </w:r>
    </w:p>
    <w:p w14:paraId="039DE31A" w14:textId="2CF7C9BC" w:rsidR="00B67BBD" w:rsidRPr="00062A9C" w:rsidRDefault="0039670A" w:rsidP="00322066">
      <w:r>
        <w:t>W</w:t>
      </w:r>
      <w:r w:rsidR="00634EE9">
        <w:t>e</w:t>
      </w:r>
      <w:r w:rsidR="00634EE9" w:rsidRPr="00062A9C">
        <w:t xml:space="preserve"> propose a n</w:t>
      </w:r>
      <w:r w:rsidR="00634EE9">
        <w:t>ovel</w:t>
      </w:r>
      <w:r w:rsidR="00634EE9" w:rsidRPr="00062A9C">
        <w:t xml:space="preserve"> and general workflow to </w:t>
      </w:r>
      <w:r w:rsidR="00B0072C">
        <w:t>build</w:t>
      </w:r>
      <w:r w:rsidR="00634EE9" w:rsidRPr="00062A9C">
        <w:t xml:space="preserve"> a TFT-based surrogate flow model</w:t>
      </w:r>
      <w:r w:rsidR="00986993">
        <w:t>.</w:t>
      </w:r>
      <w:r w:rsidR="00F0786C">
        <w:t xml:space="preserve"> </w:t>
      </w:r>
      <w:r w:rsidR="00986993">
        <w:t>T</w:t>
      </w:r>
      <w:r w:rsidR="00E577C1">
        <w:t>hrough the problem formulation</w:t>
      </w:r>
      <w:r w:rsidR="00983288">
        <w:t>,</w:t>
      </w:r>
      <w:r w:rsidR="00E577C1">
        <w:t xml:space="preserve"> </w:t>
      </w:r>
      <w:r w:rsidR="00986993">
        <w:t>we</w:t>
      </w:r>
      <w:r w:rsidR="00E577C1">
        <w:t xml:space="preserve"> </w:t>
      </w:r>
      <w:r w:rsidR="00986993">
        <w:t>include</w:t>
      </w:r>
      <w:r w:rsidR="00E577C1">
        <w:t xml:space="preserve"> static (i.e., depth, position) and variable (i.e., injection rate, operational constraints) </w:t>
      </w:r>
      <w:r w:rsidR="002331D0">
        <w:t>predictor</w:t>
      </w:r>
      <w:r w:rsidR="00E577C1">
        <w:t xml:space="preserve"> features</w:t>
      </w:r>
      <w:r w:rsidR="00A92158">
        <w:t xml:space="preserve">, </w:t>
      </w:r>
      <w:r w:rsidR="00450571">
        <w:t>forecast</w:t>
      </w:r>
      <w:r w:rsidR="00E577C1">
        <w:t xml:space="preserve"> across multiple wells</w:t>
      </w:r>
      <w:r w:rsidR="00874C1B">
        <w:t>, and uncertainty estimation through the quantile loss function</w:t>
      </w:r>
      <w:r w:rsidR="00E577C1">
        <w:t>.</w:t>
      </w:r>
      <w:r w:rsidR="00832415">
        <w:t xml:space="preserve"> To include location in the TFT-based surrogate flow model, we propose two static predictor features, and to improve model interpretability, we integrate SHAP values in the workflow to relate the forecasts to attention head weights at each time step</w:t>
      </w:r>
      <w:r w:rsidR="00FB23FD">
        <w:t xml:space="preserve">. </w:t>
      </w:r>
      <w:r w:rsidR="00C006AC">
        <w:t xml:space="preserve">We also present a robust </w:t>
      </w:r>
      <w:r w:rsidR="005B64DB">
        <w:t xml:space="preserve">workflow </w:t>
      </w:r>
      <w:r w:rsidR="00C006AC">
        <w:t xml:space="preserve">to determine the best encoder and </w:t>
      </w:r>
      <w:r w:rsidR="00A83979">
        <w:t>decoder prediction length</w:t>
      </w:r>
      <w:r w:rsidR="00C006AC">
        <w:t>s</w:t>
      </w:r>
      <w:r w:rsidR="00FB23FD">
        <w:t>.</w:t>
      </w:r>
      <w:r w:rsidR="002D4DAB">
        <w:t xml:space="preserve"> </w:t>
      </w:r>
      <w:r w:rsidR="00B7173C">
        <w:t xml:space="preserve">By utilizing our innovative workflow, the practitioner engineer can create surrogate flow models that account for uncertainty and accurately predict water and oil rates and pressures across multiple wells and steps. As a result, these models can be valuable tools for optimizing subsurface development decision-making and identifying globally important variables for forecasting and ongoing events that may </w:t>
      </w:r>
      <w:proofErr w:type="gramStart"/>
      <w:r w:rsidR="00B7173C">
        <w:t>impact well</w:t>
      </w:r>
      <w:proofErr w:type="gramEnd"/>
      <w:r w:rsidR="00B7173C">
        <w:t xml:space="preserve"> productivity.</w:t>
      </w:r>
      <w:r w:rsidR="0024724D">
        <w:t xml:space="preserve"> </w:t>
      </w:r>
      <w:r w:rsidR="00ED179B">
        <w:t xml:space="preserve">Future work could explore the implementation of the model in a real-world scenario to provide insights into subsurface dynamics during production. This could provide valuable information for optimizing subsurface development decision-making and identifying events that may </w:t>
      </w:r>
      <w:proofErr w:type="gramStart"/>
      <w:r w:rsidR="00ED179B">
        <w:t>impact well</w:t>
      </w:r>
      <w:proofErr w:type="gramEnd"/>
      <w:r w:rsidR="00ED179B">
        <w:t xml:space="preserve"> productivity. Additional work could include </w:t>
      </w:r>
      <w:r w:rsidR="008F2C0A">
        <w:t>using reinforcement learning that could</w:t>
      </w:r>
      <w:r w:rsidR="00ED179B">
        <w:t xml:space="preserve"> improve the accuracy and efficiency of the TFT-based surrogate flow model. A potential limitation of the proposed TFT-based surrogate model is that t</w:t>
      </w:r>
      <w:r w:rsidR="00B67BBD">
        <w:t xml:space="preserve">he accuracy of the surrogate flow model </w:t>
      </w:r>
      <w:r w:rsidR="008F2C0A">
        <w:t>depends heavily</w:t>
      </w:r>
      <w:r w:rsidR="00B67BBD">
        <w:t xml:space="preserve"> on the quality and quantity of data used to train the model. Therefore, poor quality data or a lack of data could negatively affect the </w:t>
      </w:r>
      <w:r w:rsidR="008F2C0A">
        <w:t xml:space="preserve">performance of the </w:t>
      </w:r>
      <w:r w:rsidR="00B67BBD">
        <w:t>model.</w:t>
      </w:r>
      <w:r w:rsidR="00947A57" w:rsidRPr="00062A9C">
        <w:br w:type="page"/>
      </w:r>
    </w:p>
    <w:p w14:paraId="2BA1543D" w14:textId="77777777" w:rsidR="006E346F" w:rsidRPr="00062A9C" w:rsidRDefault="006E346F" w:rsidP="006E346F">
      <w:pPr>
        <w:rPr>
          <w:rStyle w:val="Heading1Char"/>
        </w:rPr>
      </w:pPr>
      <w:r w:rsidRPr="00062A9C">
        <w:rPr>
          <w:rStyle w:val="Heading1Char"/>
        </w:rPr>
        <w:lastRenderedPageBreak/>
        <w:t>Reproducibility</w:t>
      </w:r>
    </w:p>
    <w:p w14:paraId="67296107" w14:textId="77777777" w:rsidR="006E346F" w:rsidRPr="00062A9C" w:rsidRDefault="00FA72AB" w:rsidP="006E346F">
      <w:r w:rsidRPr="00062A9C">
        <w:t>The w</w:t>
      </w:r>
      <w:r w:rsidR="006E346F" w:rsidRPr="00062A9C">
        <w:t xml:space="preserve">orkflow </w:t>
      </w:r>
      <w:r w:rsidRPr="00062A9C">
        <w:t xml:space="preserve">to construct the TFT-based surrogate flow model and interpretability of attention heads </w:t>
      </w:r>
      <w:r w:rsidR="00EF5E31" w:rsidRPr="00062A9C">
        <w:t>is</w:t>
      </w:r>
      <w:r w:rsidR="006E346F" w:rsidRPr="00062A9C">
        <w:t xml:space="preserve"> publicly available </w:t>
      </w:r>
      <w:r w:rsidR="001F7FB6" w:rsidRPr="00062A9C">
        <w:t xml:space="preserve">on the author’s GitHub repositories </w:t>
      </w:r>
      <w:r w:rsidR="006E346F" w:rsidRPr="00062A9C">
        <w:t>(github.com/</w:t>
      </w:r>
      <w:proofErr w:type="spellStart"/>
      <w:r w:rsidR="006E346F" w:rsidRPr="00062A9C">
        <w:t>emaldonadocruz</w:t>
      </w:r>
      <w:proofErr w:type="spellEnd"/>
      <w:r w:rsidR="006E346F" w:rsidRPr="00062A9C">
        <w:t xml:space="preserve"> and github.com/</w:t>
      </w:r>
      <w:proofErr w:type="spellStart"/>
      <w:r w:rsidR="006E346F" w:rsidRPr="00062A9C">
        <w:t>GeostatsGuy</w:t>
      </w:r>
      <w:proofErr w:type="spellEnd"/>
      <w:r w:rsidR="006E346F" w:rsidRPr="00062A9C">
        <w:t>).</w:t>
      </w:r>
    </w:p>
    <w:p w14:paraId="397C4493" w14:textId="77777777" w:rsidR="006E346F" w:rsidRPr="00062A9C" w:rsidRDefault="006E346F" w:rsidP="006E346F">
      <w:pPr>
        <w:rPr>
          <w:rStyle w:val="Heading1Char"/>
        </w:rPr>
      </w:pPr>
      <w:r w:rsidRPr="00062A9C">
        <w:rPr>
          <w:rStyle w:val="Heading1Char"/>
        </w:rPr>
        <w:t>Acknowledg</w:t>
      </w:r>
      <w:r w:rsidR="00BB126A" w:rsidRPr="00062A9C">
        <w:rPr>
          <w:rStyle w:val="Heading1Char"/>
        </w:rPr>
        <w:t>e</w:t>
      </w:r>
      <w:r w:rsidRPr="00062A9C">
        <w:rPr>
          <w:rStyle w:val="Heading1Char"/>
        </w:rPr>
        <w:t>ments</w:t>
      </w:r>
    </w:p>
    <w:p w14:paraId="6F5F9EFB" w14:textId="77777777" w:rsidR="006E346F" w:rsidRPr="00062A9C" w:rsidRDefault="006E346F" w:rsidP="00F71011">
      <w:pPr>
        <w:rPr>
          <w:b/>
        </w:rPr>
      </w:pPr>
      <w:r w:rsidRPr="00062A9C">
        <w:t>The authors thank the industry partners of the DIRECT consortium at the University of Texas at Austin for supporting this work.</w:t>
      </w:r>
      <w:r w:rsidR="00F71011" w:rsidRPr="00062A9C">
        <w:br w:type="page"/>
      </w:r>
    </w:p>
    <w:p w14:paraId="4262EC62" w14:textId="77777777" w:rsidR="007456A9" w:rsidRPr="00062A9C" w:rsidRDefault="007456A9" w:rsidP="007456A9">
      <w:pPr>
        <w:pStyle w:val="Heading1"/>
      </w:pPr>
      <w:r w:rsidRPr="00062A9C">
        <w:lastRenderedPageBreak/>
        <w:t>References</w:t>
      </w:r>
    </w:p>
    <w:p w14:paraId="68134656" w14:textId="77777777" w:rsidR="00B22022" w:rsidRDefault="00B22022" w:rsidP="00B22022">
      <w:r>
        <w:t xml:space="preserve">Ahmadi, R., </w:t>
      </w:r>
      <w:proofErr w:type="spellStart"/>
      <w:r>
        <w:t>Shahrabi</w:t>
      </w:r>
      <w:proofErr w:type="spellEnd"/>
      <w:r>
        <w:t xml:space="preserve">, J., &amp; </w:t>
      </w:r>
      <w:proofErr w:type="spellStart"/>
      <w:r>
        <w:t>Aminshahidy</w:t>
      </w:r>
      <w:proofErr w:type="spellEnd"/>
      <w:r>
        <w:t>, B. (2020). Forecasting multiple-well flow rates using a novel space-time modeling approach. Journal of Petroleum Science and Engineering, 191, 107027. https://doi.org/https://doi.org/10.1016/j.petrol.2020.107027</w:t>
      </w:r>
    </w:p>
    <w:p w14:paraId="467E502C" w14:textId="77777777" w:rsidR="00B22022" w:rsidRDefault="00B22022" w:rsidP="00B22022">
      <w:r>
        <w:t>Arps, J. J. (1945). Analysis of Decline Curves. Transactions of the AIME, 160(01), 228–247. https://doi.org/10.2118/945228-G</w:t>
      </w:r>
    </w:p>
    <w:p w14:paraId="76D67648" w14:textId="77777777" w:rsidR="00B22022" w:rsidRDefault="00B22022" w:rsidP="00B22022">
      <w:r>
        <w:t xml:space="preserve">Aziz, K., &amp; </w:t>
      </w:r>
      <w:proofErr w:type="spellStart"/>
      <w:r>
        <w:t>Settari</w:t>
      </w:r>
      <w:proofErr w:type="spellEnd"/>
      <w:r>
        <w:t>, A. (1979). Petroleum reservoir simulation. Applied Science Publishers. https://books.google.com/books?id=GJ5TAAAAMAAJ</w:t>
      </w:r>
    </w:p>
    <w:p w14:paraId="1C84A13E" w14:textId="77777777" w:rsidR="00B22022" w:rsidRDefault="00B22022" w:rsidP="00B22022">
      <w:r>
        <w:t xml:space="preserve">Bao, T., </w:t>
      </w:r>
      <w:proofErr w:type="spellStart"/>
      <w:r>
        <w:t>Corgnet</w:t>
      </w:r>
      <w:proofErr w:type="spellEnd"/>
      <w:r>
        <w:t xml:space="preserve">, B., </w:t>
      </w:r>
      <w:proofErr w:type="spellStart"/>
      <w:r>
        <w:t>Hanaki</w:t>
      </w:r>
      <w:proofErr w:type="spellEnd"/>
      <w:r>
        <w:t xml:space="preserve">, N., </w:t>
      </w:r>
      <w:proofErr w:type="spellStart"/>
      <w:r>
        <w:t>Riyanto</w:t>
      </w:r>
      <w:proofErr w:type="spellEnd"/>
      <w:r>
        <w:t>, Y. E., &amp; Zhu, J. (2023). Predicting the unpredictable: New experimental evidence on forecasting random walks. Journal of Economic Dynamics and Control, 146, 104571. https://doi.org/https://doi.org/10.1016/j.jedc.2022.104571</w:t>
      </w:r>
    </w:p>
    <w:p w14:paraId="272A8F62" w14:textId="77777777" w:rsidR="00B22022" w:rsidRDefault="00B22022" w:rsidP="00B22022">
      <w:proofErr w:type="spellStart"/>
      <w:r>
        <w:t>Beleites</w:t>
      </w:r>
      <w:proofErr w:type="spellEnd"/>
      <w:r>
        <w:t xml:space="preserve">, C., Neugebauer, U., </w:t>
      </w:r>
      <w:proofErr w:type="spellStart"/>
      <w:r>
        <w:t>Bocklitz</w:t>
      </w:r>
      <w:proofErr w:type="spellEnd"/>
      <w:r>
        <w:t xml:space="preserve">, T., </w:t>
      </w:r>
      <w:proofErr w:type="spellStart"/>
      <w:r>
        <w:t>Krafft</w:t>
      </w:r>
      <w:proofErr w:type="spellEnd"/>
      <w:r>
        <w:t xml:space="preserve">, C., &amp; Popp, J. (2013). Sample size planning for classification models. Analytica </w:t>
      </w:r>
      <w:proofErr w:type="spellStart"/>
      <w:r>
        <w:t>Chimica</w:t>
      </w:r>
      <w:proofErr w:type="spellEnd"/>
      <w:r>
        <w:t xml:space="preserve"> Acta, 760, 25–33. https://doi.org/https://doi.org/10.1016/j.aca.2012.11.007</w:t>
      </w:r>
    </w:p>
    <w:p w14:paraId="26CB5D7F" w14:textId="77777777" w:rsidR="00B22022" w:rsidRDefault="00B22022" w:rsidP="00B22022">
      <w:proofErr w:type="spellStart"/>
      <w:r>
        <w:t>Beleites</w:t>
      </w:r>
      <w:proofErr w:type="spellEnd"/>
      <w:r>
        <w:t xml:space="preserve">, C., &amp; </w:t>
      </w:r>
      <w:proofErr w:type="spellStart"/>
      <w:r>
        <w:t>Salzer</w:t>
      </w:r>
      <w:proofErr w:type="spellEnd"/>
      <w:r>
        <w:t>, R. (2008). Assessing and improving the stability of chemometric models in small sample size situations. Analytical and Bioanalytical Chemistry, 390(5), 1261–1271. https://doi.org/10.1007/s00216-007-1818-6</w:t>
      </w:r>
    </w:p>
    <w:p w14:paraId="62CEA222" w14:textId="77777777" w:rsidR="00B22022" w:rsidRDefault="00B22022" w:rsidP="00B22022">
      <w:proofErr w:type="spellStart"/>
      <w:r>
        <w:t>Belyadi</w:t>
      </w:r>
      <w:proofErr w:type="spellEnd"/>
      <w:r>
        <w:t xml:space="preserve">, H., </w:t>
      </w:r>
      <w:proofErr w:type="spellStart"/>
      <w:r>
        <w:t>Fathi</w:t>
      </w:r>
      <w:proofErr w:type="spellEnd"/>
      <w:r>
        <w:t xml:space="preserve">, E., &amp; </w:t>
      </w:r>
      <w:proofErr w:type="spellStart"/>
      <w:r>
        <w:t>Belyadi</w:t>
      </w:r>
      <w:proofErr w:type="spellEnd"/>
      <w:r>
        <w:t xml:space="preserve">, F. (2019). Chapter Seventeen - Decline curve analysis (H. </w:t>
      </w:r>
      <w:proofErr w:type="spellStart"/>
      <w:r>
        <w:t>Belyadi</w:t>
      </w:r>
      <w:proofErr w:type="spellEnd"/>
      <w:r>
        <w:t xml:space="preserve">, E. </w:t>
      </w:r>
      <w:proofErr w:type="spellStart"/>
      <w:r>
        <w:t>Fathi</w:t>
      </w:r>
      <w:proofErr w:type="spellEnd"/>
      <w:r>
        <w:t xml:space="preserve">, &amp; F. B. T.-H. F. in U. R. (Second E. </w:t>
      </w:r>
      <w:proofErr w:type="spellStart"/>
      <w:r>
        <w:t>Belyadi</w:t>
      </w:r>
      <w:proofErr w:type="spellEnd"/>
      <w:r>
        <w:t xml:space="preserve"> (eds.); pp. 311–340). Gulf Professional Publishing. https://doi.org/https://doi.org/10.1016/B978-0-12-817665-8.00017-5</w:t>
      </w:r>
    </w:p>
    <w:p w14:paraId="2C2ED9C1" w14:textId="77777777" w:rsidR="00B22022" w:rsidRDefault="00B22022" w:rsidP="00B22022">
      <w:r>
        <w:lastRenderedPageBreak/>
        <w:t>Cao, C., Jia, P., Cheng, L., Jin, Q., &amp; Qi, S. (2022). A review on application of data-driven models in hydrocarbon production forecast. Journal of Petroleum Science and Engineering, 212, 110296. https://doi.org/https://doi.org/10.1016/j.petrol.2022.110296</w:t>
      </w:r>
    </w:p>
    <w:p w14:paraId="1C648E11" w14:textId="77777777" w:rsidR="00B22022" w:rsidRDefault="00B22022" w:rsidP="00B22022">
      <w:r w:rsidRPr="00B22022">
        <w:rPr>
          <w:lang w:val="es-MX"/>
        </w:rPr>
        <w:t xml:space="preserve">Cao, Q., </w:t>
      </w:r>
      <w:proofErr w:type="spellStart"/>
      <w:r w:rsidRPr="00B22022">
        <w:rPr>
          <w:lang w:val="es-MX"/>
        </w:rPr>
        <w:t>Banerjee</w:t>
      </w:r>
      <w:proofErr w:type="spellEnd"/>
      <w:r w:rsidRPr="00B22022">
        <w:rPr>
          <w:lang w:val="es-MX"/>
        </w:rPr>
        <w:t xml:space="preserve">, R., Gupta, S., Li, J., Zhou, W., &amp; </w:t>
      </w:r>
      <w:proofErr w:type="spellStart"/>
      <w:r w:rsidRPr="00B22022">
        <w:rPr>
          <w:lang w:val="es-MX"/>
        </w:rPr>
        <w:t>Jeyachandra</w:t>
      </w:r>
      <w:proofErr w:type="spellEnd"/>
      <w:r w:rsidRPr="00B22022">
        <w:rPr>
          <w:lang w:val="es-MX"/>
        </w:rPr>
        <w:t xml:space="preserve">, B. (2016). </w:t>
      </w:r>
      <w:r>
        <w:t>Data Driven Production Forecasting Using Machine Learning. In SPE Argentina Exploration and Production of Unconventional Resources Symposium (p. D021S006R001). https://doi.org/10.2118/180984-MS</w:t>
      </w:r>
    </w:p>
    <w:p w14:paraId="58AAEA8E" w14:textId="77777777" w:rsidR="00B22022" w:rsidRDefault="00B22022" w:rsidP="00B22022">
      <w:r w:rsidRPr="00B22022">
        <w:rPr>
          <w:lang w:val="es-MX"/>
        </w:rPr>
        <w:t xml:space="preserve">Carvalho, D. V, Pereira, E. M., &amp; Cardoso, J. S. (2019). </w:t>
      </w:r>
      <w:r>
        <w:t>Machine Learning Interpretability: A Survey on Methods and Metrics. Electronics, 8(8). https://doi.org/10.3390/electronics8080832</w:t>
      </w:r>
    </w:p>
    <w:p w14:paraId="2FF53542" w14:textId="77777777" w:rsidR="00B22022" w:rsidRDefault="00B22022" w:rsidP="00B22022">
      <w:proofErr w:type="spellStart"/>
      <w:r>
        <w:t>Chahar</w:t>
      </w:r>
      <w:proofErr w:type="spellEnd"/>
      <w:r>
        <w:t>, J., Verma, J., Vyas, D., &amp; Goyal, M. (2022). Data-driven approach for hydrocarbon production forecasting using machine learning techniques. Journal of Petroleum Science and Engineering, 217, 110757. https://doi.org/https://doi.org/10.1016/j.petrol.2022.110757</w:t>
      </w:r>
    </w:p>
    <w:p w14:paraId="6D08FF7D" w14:textId="77777777" w:rsidR="00B22022" w:rsidRDefault="00B22022" w:rsidP="00B22022">
      <w:r>
        <w:t>Clarkson, C. R. (2013). Production data analysis of unconventional gas wells: Review of theory and best practices. International Journal of Coal Geology, 109–110, 101–146. https://doi.org/https://doi.org/10.1016/j.coal.2013.01.002</w:t>
      </w:r>
    </w:p>
    <w:p w14:paraId="0D3E4870" w14:textId="77777777" w:rsidR="00B22022" w:rsidRDefault="00B22022" w:rsidP="00B22022">
      <w:r>
        <w:t>Cunningham, C. F., Cooley, L., Wozniak, G., &amp; Pancake, J. (2012). Using Multiple Linear Regression to Model EURs of Horizontal Marcellus Shale Wells. In SPE Eastern Regional Meeting (p. SPE-161343-MS). https://doi.org/10.2118/161343-MS</w:t>
      </w:r>
    </w:p>
    <w:p w14:paraId="296DA510" w14:textId="77777777" w:rsidR="00B22022" w:rsidRDefault="00B22022" w:rsidP="00B22022">
      <w:proofErr w:type="spellStart"/>
      <w:r>
        <w:lastRenderedPageBreak/>
        <w:t>Davtyan</w:t>
      </w:r>
      <w:proofErr w:type="spellEnd"/>
      <w:r>
        <w:t xml:space="preserve">, A., Rodin, A., Muchnik, I., &amp; </w:t>
      </w:r>
      <w:proofErr w:type="spellStart"/>
      <w:r>
        <w:t>Romashkin</w:t>
      </w:r>
      <w:proofErr w:type="spellEnd"/>
      <w:r>
        <w:t>, A. (2020). Oil production forecast models based on sliding window regression. Journal of Petroleum Science and Engineering, 195, 107916. https://doi.org/https://doi.org/10.1016/j.petrol.2020.107916</w:t>
      </w:r>
    </w:p>
    <w:p w14:paraId="6E622F60" w14:textId="77777777" w:rsidR="00B22022" w:rsidRDefault="00B22022" w:rsidP="00B22022">
      <w:r>
        <w:t>Deng, Y., Hui, S., Zhou, S., Meng, D., &amp; Wang, J. (2022). T-Former: An Efficient Transformer for Image Inpainting. Proceedings of the 30th ACM International Conference on Multimedia, 6559–6568. https://doi.org/10.1145/3503161.3548446</w:t>
      </w:r>
    </w:p>
    <w:p w14:paraId="47C06A8A" w14:textId="77777777" w:rsidR="00B22022" w:rsidRDefault="00B22022" w:rsidP="00B22022">
      <w:r>
        <w:t xml:space="preserve">Deutsch, C. V, &amp; </w:t>
      </w:r>
      <w:proofErr w:type="spellStart"/>
      <w:r>
        <w:t>Journel</w:t>
      </w:r>
      <w:proofErr w:type="spellEnd"/>
      <w:r>
        <w:t>, A. G. (1992). GSLIB: Geostatistical Software Library and User’s Guide. Oxford University Press. https://books.google.com/books?id=BiZOAQAAIAAJ</w:t>
      </w:r>
    </w:p>
    <w:p w14:paraId="3BC402EE" w14:textId="77777777" w:rsidR="00B22022" w:rsidRDefault="00B22022" w:rsidP="00B22022">
      <w:proofErr w:type="spellStart"/>
      <w:r>
        <w:t>Esmaili</w:t>
      </w:r>
      <w:proofErr w:type="spellEnd"/>
      <w:r>
        <w:t>, S., Kalantari-</w:t>
      </w:r>
      <w:proofErr w:type="spellStart"/>
      <w:r>
        <w:t>Dahaghi</w:t>
      </w:r>
      <w:proofErr w:type="spellEnd"/>
      <w:r>
        <w:t xml:space="preserve">, A., &amp; </w:t>
      </w:r>
      <w:proofErr w:type="spellStart"/>
      <w:r>
        <w:t>Mohaghegh</w:t>
      </w:r>
      <w:proofErr w:type="spellEnd"/>
      <w:r>
        <w:t>, S. D. (2012). Forecasting, Sensitivity and Economic Analysis of Hydrocarbon Production from Shale Plays Using Artificial Intelligence &amp;amp; Data Mining. In SPE Canadian Unconventional Resources Conference (p. SPE-162700-MS). https://doi.org/10.2118/162700-MS</w:t>
      </w:r>
    </w:p>
    <w:p w14:paraId="69B13349" w14:textId="77777777" w:rsidR="00B22022" w:rsidRDefault="00B22022" w:rsidP="00B22022">
      <w:proofErr w:type="spellStart"/>
      <w:r>
        <w:t>Fanchi</w:t>
      </w:r>
      <w:proofErr w:type="spellEnd"/>
      <w:r>
        <w:t xml:space="preserve">, J. R. (2010). 9 - Production Evaluation Techniques (J. R. B. T.-I. R. A. M. </w:t>
      </w:r>
      <w:proofErr w:type="spellStart"/>
      <w:r>
        <w:t>Fanchi</w:t>
      </w:r>
      <w:proofErr w:type="spellEnd"/>
      <w:r>
        <w:t xml:space="preserve"> (ed.); pp. 145–166). Gulf Professional Publishing. https://doi.org/https://doi.org/10.1016/B978-0-12-382088-4.00009-8</w:t>
      </w:r>
    </w:p>
    <w:p w14:paraId="4E0954A8" w14:textId="77777777" w:rsidR="00B22022" w:rsidRDefault="00B22022" w:rsidP="00B22022">
      <w:r>
        <w:t>Gentry, R. W. (1972). Decline-Curve Analysis. Journal of Petroleum Technology, 24(01), 38–41. https://doi.org/10.2118/3356-PA</w:t>
      </w:r>
    </w:p>
    <w:p w14:paraId="57018267" w14:textId="77777777" w:rsidR="00B22022" w:rsidRDefault="00B22022" w:rsidP="00B22022">
      <w:r>
        <w:t xml:space="preserve">Goodfellow, I., </w:t>
      </w:r>
      <w:proofErr w:type="spellStart"/>
      <w:r>
        <w:t>Bengio</w:t>
      </w:r>
      <w:proofErr w:type="spellEnd"/>
      <w:r>
        <w:t>, Y., &amp; Courville, A. (2016). Deep Learning. MIT Press.</w:t>
      </w:r>
    </w:p>
    <w:p w14:paraId="6FF48D4B" w14:textId="77777777" w:rsidR="00B22022" w:rsidRDefault="00B22022" w:rsidP="00B22022">
      <w:r>
        <w:t xml:space="preserve">Gupta, S., Fuehrer, F., &amp; </w:t>
      </w:r>
      <w:proofErr w:type="spellStart"/>
      <w:r>
        <w:t>Jeyachandra</w:t>
      </w:r>
      <w:proofErr w:type="spellEnd"/>
      <w:r>
        <w:t xml:space="preserve">, B. C. (2014). Production Forecasting in Unconventional Resources using Data Mining and Time Series Analysis. In SPE/CSUR </w:t>
      </w:r>
      <w:r>
        <w:lastRenderedPageBreak/>
        <w:t>Unconventional Resources Conference – Canada (p. D011S004R008). https://doi.org/10.2118/171588-MS</w:t>
      </w:r>
    </w:p>
    <w:p w14:paraId="13DD7B52" w14:textId="77777777" w:rsidR="00B22022" w:rsidRDefault="00B22022" w:rsidP="00B22022">
      <w:proofErr w:type="spellStart"/>
      <w:r>
        <w:t>Gurina</w:t>
      </w:r>
      <w:proofErr w:type="spellEnd"/>
      <w:r>
        <w:t xml:space="preserve">, E., </w:t>
      </w:r>
      <w:proofErr w:type="spellStart"/>
      <w:r>
        <w:t>Klyuchnikov</w:t>
      </w:r>
      <w:proofErr w:type="spellEnd"/>
      <w:r>
        <w:t xml:space="preserve">, N., </w:t>
      </w:r>
      <w:proofErr w:type="spellStart"/>
      <w:r>
        <w:t>Antipova</w:t>
      </w:r>
      <w:proofErr w:type="spellEnd"/>
      <w:r>
        <w:t xml:space="preserve">, K., &amp; </w:t>
      </w:r>
      <w:proofErr w:type="spellStart"/>
      <w:r>
        <w:t>Koroteev</w:t>
      </w:r>
      <w:proofErr w:type="spellEnd"/>
      <w:r>
        <w:t>, D. (2022). Making the black-box brighter: Interpreting machine learning algorithm for forecasting drilling accidents. Journal of Petroleum Science and Engineering, 218, 111041. https://doi.org/https://doi.org/10.1016/j.petrol.2022.111041</w:t>
      </w:r>
    </w:p>
    <w:p w14:paraId="32D0C30B" w14:textId="77777777" w:rsidR="00B22022" w:rsidRDefault="00B22022" w:rsidP="00B22022">
      <w:r>
        <w:t xml:space="preserve">Hastie, T., </w:t>
      </w:r>
      <w:proofErr w:type="spellStart"/>
      <w:r>
        <w:t>Tibshirani</w:t>
      </w:r>
      <w:proofErr w:type="spellEnd"/>
      <w:r>
        <w:t xml:space="preserve">, R., &amp; Friedman, J. (2009). Neural Networks BT  - The Elements of Statistical Learning: Data Mining, Inference, and Prediction (T. Hastie, R. </w:t>
      </w:r>
      <w:proofErr w:type="spellStart"/>
      <w:r>
        <w:t>Tibshirani</w:t>
      </w:r>
      <w:proofErr w:type="spellEnd"/>
      <w:r>
        <w:t>, &amp; J. Friedman (eds.); pp. 389–416). Springer New York. https://doi.org/10.1007/978-0-387-84858-7_11</w:t>
      </w:r>
    </w:p>
    <w:p w14:paraId="0DD75710" w14:textId="77777777" w:rsidR="00B22022" w:rsidRDefault="00B22022" w:rsidP="00B22022">
      <w:proofErr w:type="spellStart"/>
      <w:r>
        <w:t>Hochreiter</w:t>
      </w:r>
      <w:proofErr w:type="spellEnd"/>
      <w:r>
        <w:t>, S. (1998). The Vanishing Gradient Problem During Learning Recurrent Neural Nets  and Problem Solutions. International Journal of Uncertainty, Fuzziness and Knowledge-Based Systems, 06(02), 107–116. https://doi.org/10.1142/S0218488598000094</w:t>
      </w:r>
    </w:p>
    <w:p w14:paraId="1933C107" w14:textId="77777777" w:rsidR="00B22022" w:rsidRDefault="00B22022" w:rsidP="00B22022">
      <w:r>
        <w:t>Hui, G., Chen, S., He, Y., Wang, H., &amp; Gu, F. (2021). Machine learning-based production forecast for shale gas in unconventional reservoirs via integration of geological and operational factors. Journal of Natural Gas Science and Engineering, 94, 104045. https://doi.org/https://doi.org/10.1016/j.jngse.2021.104045</w:t>
      </w:r>
    </w:p>
    <w:p w14:paraId="7180F691" w14:textId="77777777" w:rsidR="00B22022" w:rsidRDefault="00B22022" w:rsidP="00B22022">
      <w:r>
        <w:t xml:space="preserve">Iskandar, U. P., &amp; </w:t>
      </w:r>
      <w:proofErr w:type="spellStart"/>
      <w:r>
        <w:t>Kurihara</w:t>
      </w:r>
      <w:proofErr w:type="spellEnd"/>
      <w:r>
        <w:t>, M. (2022). Time-Series Forecasting of a CO2-EOR and CO2 Storage Project Using a Data-Driven Approach. In Energies (Vol. 15, Issue 13). https://doi.org/10.3390/en15134768</w:t>
      </w:r>
    </w:p>
    <w:p w14:paraId="7B800E63" w14:textId="77777777" w:rsidR="00B22022" w:rsidRDefault="00B22022" w:rsidP="00B22022">
      <w:proofErr w:type="spellStart"/>
      <w:r>
        <w:lastRenderedPageBreak/>
        <w:t>Jurafsky</w:t>
      </w:r>
      <w:proofErr w:type="spellEnd"/>
      <w:r>
        <w:t>, D., &amp; Martin, J. H. (2009). Speech and Language Processing: An Introduction to Natural Language Processing, Computational Linguistics, and Speech Recognition. Pearson Prentice Hall. https://books.google.com/books?id=fZmj5UNK8AQC</w:t>
      </w:r>
    </w:p>
    <w:p w14:paraId="7AB4D396" w14:textId="77777777" w:rsidR="00B22022" w:rsidRDefault="00B22022" w:rsidP="00B22022">
      <w:r>
        <w:t>Kubota, L., &amp; Reinert, D. (2019). Machine Learning Forecasts Oil Rate in Mature Onshore Field Jointly Driven by Water and Steam Injection. In SPE Annual Technical Conference and Exhibition (p. D021S020R003). https://doi.org/10.2118/196152-MS</w:t>
      </w:r>
    </w:p>
    <w:p w14:paraId="062629CA" w14:textId="77777777" w:rsidR="00B22022" w:rsidRDefault="00B22022" w:rsidP="00B22022">
      <w:proofErr w:type="spellStart"/>
      <w:r w:rsidRPr="00B22022">
        <w:rPr>
          <w:lang w:val="es-MX"/>
        </w:rPr>
        <w:t>LeCun</w:t>
      </w:r>
      <w:proofErr w:type="spellEnd"/>
      <w:r w:rsidRPr="00B22022">
        <w:rPr>
          <w:lang w:val="es-MX"/>
        </w:rPr>
        <w:t xml:space="preserve">, Y., </w:t>
      </w:r>
      <w:proofErr w:type="spellStart"/>
      <w:r w:rsidRPr="00B22022">
        <w:rPr>
          <w:lang w:val="es-MX"/>
        </w:rPr>
        <w:t>Bengio</w:t>
      </w:r>
      <w:proofErr w:type="spellEnd"/>
      <w:r w:rsidRPr="00B22022">
        <w:rPr>
          <w:lang w:val="es-MX"/>
        </w:rPr>
        <w:t xml:space="preserve">, Y., &amp; Hinton, G. (2015). </w:t>
      </w:r>
      <w:r>
        <w:t>Deep learning. Nature, 521(7553), 436–444. https://doi.org/10.1038/nature14539</w:t>
      </w:r>
    </w:p>
    <w:p w14:paraId="011DED73" w14:textId="77777777" w:rsidR="00B22022" w:rsidRDefault="00B22022" w:rsidP="00B22022">
      <w:r>
        <w:t>Li, X., Ma, X., Xiao, F., Xiao, C., Wang, F., &amp; Zhang, S. (2022). Time-series production forecasting method based on the integration of Bidirectional Gated Recurrent Unit (Bi-GRU) network and Sparrow Search Algorithm (SSA). Journal of Petroleum Science and Engineering, 208, 109309. https://doi.org/https://doi.org/10.1016/j.petrol.2021.109309</w:t>
      </w:r>
    </w:p>
    <w:p w14:paraId="742AF7B1" w14:textId="77777777" w:rsidR="00B22022" w:rsidRDefault="00B22022" w:rsidP="00B22022">
      <w:r>
        <w:t>Li, Y., He, J., Zhou, X., Zhang, Y., &amp; Baldridge, J. (2020). Mapping Natural Language Instructions to Mobile {UI} Action Sequences. Proceedings of the 58th Annual Meeting of the Association for Computational Linguistics, 8198–8210. https://doi.org/10.18653/v1/2020.acl-main.729</w:t>
      </w:r>
    </w:p>
    <w:p w14:paraId="2F6D33DE" w14:textId="77777777" w:rsidR="00B22022" w:rsidRDefault="00B22022" w:rsidP="00B22022">
      <w:r>
        <w:t xml:space="preserve">Lim, B., </w:t>
      </w:r>
      <w:proofErr w:type="spellStart"/>
      <w:r>
        <w:t>Arık</w:t>
      </w:r>
      <w:proofErr w:type="spellEnd"/>
      <w:r>
        <w:t xml:space="preserve">, S. Ö., </w:t>
      </w:r>
      <w:proofErr w:type="spellStart"/>
      <w:r>
        <w:t>Loeff</w:t>
      </w:r>
      <w:proofErr w:type="spellEnd"/>
      <w:r>
        <w:t>, N., &amp; Pfister, T. (2021). Temporal Fusion Transformers for interpretable multi-horizon time series forecasting. International Journal of Forecasting, 37(4), 1748–1764. https://doi.org/https://doi.org/10.1016/j.ijforecast.2021.03.012</w:t>
      </w:r>
    </w:p>
    <w:p w14:paraId="0B6BA6B1" w14:textId="77777777" w:rsidR="00B22022" w:rsidRDefault="00B22022" w:rsidP="00B22022">
      <w:r>
        <w:t xml:space="preserve">Lin, Y., Chen, K., Zhang, X., Tan, B., &amp; Lu, Q. (2022). Forecasting crude oil futures prices using </w:t>
      </w:r>
      <w:proofErr w:type="spellStart"/>
      <w:r>
        <w:t>BiLSTM</w:t>
      </w:r>
      <w:proofErr w:type="spellEnd"/>
      <w:r>
        <w:t>-Attention-CNN model with Wavelet transform. Applied Soft Computing, 130, 109723. https://doi.org/https://doi.org/10.1016/j.asoc.2022.109723</w:t>
      </w:r>
    </w:p>
    <w:p w14:paraId="3BE67C03" w14:textId="77777777" w:rsidR="00B22022" w:rsidRDefault="00B22022" w:rsidP="00B22022">
      <w:r>
        <w:lastRenderedPageBreak/>
        <w:t>Liu, J., &amp; Jung, C. (2021). Facial image inpainting using attention-based multi-level generative network. Neurocomputing, 437, 95–106. https://doi.org/https://doi.org/10.1016/j.neucom.2020.12.118</w:t>
      </w:r>
    </w:p>
    <w:p w14:paraId="14306346" w14:textId="77777777" w:rsidR="00B22022" w:rsidRDefault="00B22022" w:rsidP="00B22022">
      <w:r>
        <w:t>Liu, W., Liu, W. D., &amp; Gu, J. (2020). Forecasting oil production using ensemble empirical model decomposition based Long Short-Term Memory neural network. Journal of Petroleum Science and Engineering, 189, 107013. https://doi.org/https://doi.org/10.1016/j.petrol.2020.107013</w:t>
      </w:r>
    </w:p>
    <w:p w14:paraId="1F5D224A" w14:textId="77777777" w:rsidR="00B22022" w:rsidRDefault="00B22022" w:rsidP="00B22022">
      <w:r w:rsidRPr="00B22022">
        <w:rPr>
          <w:lang w:val="es-MX"/>
        </w:rPr>
        <w:t xml:space="preserve">Maldonado-Cruz, E., &amp; Pyrcz, M. J. (2022). </w:t>
      </w:r>
      <w:r>
        <w:t>Fast evaluation of pressure and saturation predictions with a deep learning surrogate flow model. Journal of Petroleum Science and Engineering, 212, 110244. https://doi.org/https://doi.org/10.1016/j.petrol.2022.110244</w:t>
      </w:r>
    </w:p>
    <w:p w14:paraId="52F92AA7" w14:textId="77777777" w:rsidR="00B22022" w:rsidRDefault="00B22022" w:rsidP="00B22022">
      <w:r w:rsidRPr="00B22022">
        <w:rPr>
          <w:lang w:val="es-MX"/>
        </w:rPr>
        <w:t xml:space="preserve">Maldonado-Cruz, E., &amp; Pyrcz, M. J. (2021). </w:t>
      </w:r>
      <w:r>
        <w:t>Tuning machine learning dropout for subsurface uncertainty model accuracy. Journal of Petroleum Science and Engineering, 205, 108975. https://doi.org/https://doi.org/10.1016/j.petrol.2021.108975</w:t>
      </w:r>
    </w:p>
    <w:p w14:paraId="3BE6243B" w14:textId="77777777" w:rsidR="00B22022" w:rsidRDefault="00B22022" w:rsidP="00B22022">
      <w:proofErr w:type="spellStart"/>
      <w:r>
        <w:t>Mattar</w:t>
      </w:r>
      <w:proofErr w:type="spellEnd"/>
      <w:r>
        <w:t>, L., &amp; Anderson, D. M. (2003). A Systematic and Comprehensive Methodology for Advanced Analysis of Production Data. In SPE Annual Technical Conference and Exhibition (p. SPE-84472-MS). https://doi.org/10.2118/84472-MS</w:t>
      </w:r>
    </w:p>
    <w:p w14:paraId="0708C3ED" w14:textId="77777777" w:rsidR="00B22022" w:rsidRDefault="00B22022" w:rsidP="00B22022">
      <w:proofErr w:type="spellStart"/>
      <w:r>
        <w:t>Michelevichius</w:t>
      </w:r>
      <w:proofErr w:type="spellEnd"/>
      <w:r>
        <w:t xml:space="preserve">, D., </w:t>
      </w:r>
      <w:proofErr w:type="spellStart"/>
      <w:r>
        <w:t>Minijos</w:t>
      </w:r>
      <w:proofErr w:type="spellEnd"/>
      <w:r>
        <w:t xml:space="preserve">, N., &amp; </w:t>
      </w:r>
      <w:proofErr w:type="spellStart"/>
      <w:r>
        <w:t>Zolotukhin</w:t>
      </w:r>
      <w:proofErr w:type="spellEnd"/>
      <w:r>
        <w:t>, A. B. (2002). Evaluating Productivity of a Horizontal Well. In SPE International Thermal Operations and Heavy Oil Symposium and International Horizontal Well Technology Conference (p. SPE-79000-MS). https://doi.org/10.2118/79000-MS</w:t>
      </w:r>
    </w:p>
    <w:p w14:paraId="7651226D" w14:textId="77777777" w:rsidR="00B22022" w:rsidRDefault="00B22022" w:rsidP="00B22022">
      <w:proofErr w:type="spellStart"/>
      <w:r>
        <w:lastRenderedPageBreak/>
        <w:t>Mohammadmoradi</w:t>
      </w:r>
      <w:proofErr w:type="spellEnd"/>
      <w:r>
        <w:t xml:space="preserve">, P., Moradi, H. M., &amp; </w:t>
      </w:r>
      <w:proofErr w:type="spellStart"/>
      <w:r>
        <w:t>Kantzas</w:t>
      </w:r>
      <w:proofErr w:type="spellEnd"/>
      <w:r>
        <w:t>, A. (2018). Data-Driven Production Forecasting of Unconventional Wells with Apache Spark. In SPE Western Regional Meeting (p. D041S011R006). https://doi.org/10.2118/190098-MS</w:t>
      </w:r>
    </w:p>
    <w:p w14:paraId="78CC2264" w14:textId="77777777" w:rsidR="00B22022" w:rsidRDefault="00B22022" w:rsidP="00B22022">
      <w:proofErr w:type="spellStart"/>
      <w:r>
        <w:t>Ostojic</w:t>
      </w:r>
      <w:proofErr w:type="spellEnd"/>
      <w:r>
        <w:t xml:space="preserve">, J., </w:t>
      </w:r>
      <w:proofErr w:type="spellStart"/>
      <w:r>
        <w:t>Rezaee</w:t>
      </w:r>
      <w:proofErr w:type="spellEnd"/>
      <w:r>
        <w:t xml:space="preserve">, R., &amp; </w:t>
      </w:r>
      <w:proofErr w:type="spellStart"/>
      <w:r>
        <w:t>Bahrami</w:t>
      </w:r>
      <w:proofErr w:type="spellEnd"/>
      <w:r>
        <w:t>, H. (2012). Production performance of hydraulic fractures in tight gas sands, a numerical simulation approach. Journal of Petroleum Science and Engineering, 88–89, 75–81. https://doi.org/https://doi.org/10.1016/j.petrol.2011.11.002</w:t>
      </w:r>
    </w:p>
    <w:p w14:paraId="4A504213" w14:textId="77777777" w:rsidR="00B22022" w:rsidRDefault="00B22022" w:rsidP="00B22022">
      <w:proofErr w:type="spellStart"/>
      <w:r w:rsidRPr="00B22022">
        <w:rPr>
          <w:lang w:val="es-MX"/>
        </w:rPr>
        <w:t>Parvizi</w:t>
      </w:r>
      <w:proofErr w:type="spellEnd"/>
      <w:r w:rsidRPr="00B22022">
        <w:rPr>
          <w:lang w:val="es-MX"/>
        </w:rPr>
        <w:t xml:space="preserve">, H., </w:t>
      </w:r>
      <w:proofErr w:type="spellStart"/>
      <w:r w:rsidRPr="00B22022">
        <w:rPr>
          <w:lang w:val="es-MX"/>
        </w:rPr>
        <w:t>Rezaei-Gomari</w:t>
      </w:r>
      <w:proofErr w:type="spellEnd"/>
      <w:r w:rsidRPr="00B22022">
        <w:rPr>
          <w:lang w:val="es-MX"/>
        </w:rPr>
        <w:t xml:space="preserve">, S., &amp; </w:t>
      </w:r>
      <w:proofErr w:type="spellStart"/>
      <w:r w:rsidRPr="00B22022">
        <w:rPr>
          <w:lang w:val="es-MX"/>
        </w:rPr>
        <w:t>Nabhani</w:t>
      </w:r>
      <w:proofErr w:type="spellEnd"/>
      <w:r w:rsidRPr="00B22022">
        <w:rPr>
          <w:lang w:val="es-MX"/>
        </w:rPr>
        <w:t xml:space="preserve">, F. (2017). </w:t>
      </w:r>
      <w:r>
        <w:t>Robust and Flexible Hydrocarbon Production Forecasting Considering the Heterogeneity Impact for Hydraulically Fractured Wells. Energy &amp; Fuels, 31(8), 8481–8488. https://doi.org/10.1021/acs.energyfuels.7b00738</w:t>
      </w:r>
    </w:p>
    <w:p w14:paraId="0403B48A" w14:textId="77777777" w:rsidR="00B22022" w:rsidRDefault="00B22022" w:rsidP="00B22022">
      <w:r>
        <w:t xml:space="preserve">Pickup, G. E. (2013). 2 - CO2 storage capacity calculation using static and dynamic modelling (J. </w:t>
      </w:r>
      <w:proofErr w:type="spellStart"/>
      <w:r>
        <w:t>Gluyas</w:t>
      </w:r>
      <w:proofErr w:type="spellEnd"/>
      <w:r>
        <w:t xml:space="preserve"> &amp; S. B. T.-G. S. of C. D. (CO2) Mathias (eds.); pp. 26–44). Woodhead Publishing. https://doi.org/https://doi.org/10.1533/9780857097279.1.26</w:t>
      </w:r>
    </w:p>
    <w:p w14:paraId="1D31B93F" w14:textId="77777777" w:rsidR="00B22022" w:rsidRDefault="00B22022" w:rsidP="00B22022">
      <w:proofErr w:type="spellStart"/>
      <w:r>
        <w:t>Pirnay</w:t>
      </w:r>
      <w:proofErr w:type="spellEnd"/>
      <w:r>
        <w:t xml:space="preserve">, J., &amp; Chai, K. (2022). Inpainting Transformer for Anomaly Detection BT  - Image Analysis and Processing – ICIAP 2022 (S. </w:t>
      </w:r>
      <w:proofErr w:type="spellStart"/>
      <w:r>
        <w:t>Sclaroff</w:t>
      </w:r>
      <w:proofErr w:type="spellEnd"/>
      <w:r>
        <w:t xml:space="preserve">, C. </w:t>
      </w:r>
      <w:proofErr w:type="spellStart"/>
      <w:r>
        <w:t>Distante</w:t>
      </w:r>
      <w:proofErr w:type="spellEnd"/>
      <w:r>
        <w:t xml:space="preserve">, M. Leo, G. M. </w:t>
      </w:r>
      <w:proofErr w:type="spellStart"/>
      <w:r>
        <w:t>Farinella</w:t>
      </w:r>
      <w:proofErr w:type="spellEnd"/>
      <w:r>
        <w:t xml:space="preserve">, &amp; F. </w:t>
      </w:r>
      <w:proofErr w:type="spellStart"/>
      <w:r>
        <w:t>Tombari</w:t>
      </w:r>
      <w:proofErr w:type="spellEnd"/>
      <w:r>
        <w:t xml:space="preserve"> (eds.); pp. 394–406). Springer International Publishing.</w:t>
      </w:r>
    </w:p>
    <w:p w14:paraId="179C78AF" w14:textId="556C61F4" w:rsidR="00B22022" w:rsidRDefault="00DF66DD" w:rsidP="00B22022">
      <w:r>
        <w:t xml:space="preserve">Pyrcz, M.J., Jo. H., </w:t>
      </w:r>
      <w:proofErr w:type="spellStart"/>
      <w:r>
        <w:t>Kupenko</w:t>
      </w:r>
      <w:proofErr w:type="spellEnd"/>
      <w:r>
        <w:t xml:space="preserve">, A., Liu, W., Gigliotti, A.E., </w:t>
      </w:r>
      <w:proofErr w:type="spellStart"/>
      <w:r>
        <w:t>Salomaki</w:t>
      </w:r>
      <w:proofErr w:type="spellEnd"/>
      <w:r>
        <w:t>, T., and Santos, J.,</w:t>
      </w:r>
      <w:r w:rsidR="00B22022">
        <w:t xml:space="preserve"> (</w:t>
      </w:r>
      <w:r>
        <w:t>2021</w:t>
      </w:r>
      <w:r w:rsidR="00B22022">
        <w:t>). Geostatistical methods from GSLIB: Geostatistical Library translated and reimplemented in Python. https://github.com/GeostatsGuy/GeostatsPy</w:t>
      </w:r>
    </w:p>
    <w:p w14:paraId="68CEA066" w14:textId="77777777" w:rsidR="00B22022" w:rsidRDefault="00B22022" w:rsidP="00B22022">
      <w:proofErr w:type="spellStart"/>
      <w:r>
        <w:lastRenderedPageBreak/>
        <w:t>Rahuma</w:t>
      </w:r>
      <w:proofErr w:type="spellEnd"/>
      <w:r>
        <w:t xml:space="preserve">, K. M., Mohamed, H. A. M., </w:t>
      </w:r>
      <w:proofErr w:type="spellStart"/>
      <w:r>
        <w:t>Hissein</w:t>
      </w:r>
      <w:proofErr w:type="spellEnd"/>
      <w:r>
        <w:t xml:space="preserve">, N., &amp; </w:t>
      </w:r>
      <w:proofErr w:type="spellStart"/>
      <w:r>
        <w:t>Giuma</w:t>
      </w:r>
      <w:proofErr w:type="spellEnd"/>
      <w:r>
        <w:t>, S. K. B. (2013). Prediction of Reservoir Performance Applying Decline Curve Analysis. International Journal of Chemical Engineering and Applications, 74–77.</w:t>
      </w:r>
    </w:p>
    <w:p w14:paraId="59EC4630" w14:textId="77777777" w:rsidR="00B22022" w:rsidRDefault="00B22022" w:rsidP="00B22022">
      <w:r w:rsidRPr="00B22022">
        <w:rPr>
          <w:lang w:val="es-MX"/>
        </w:rPr>
        <w:t xml:space="preserve">Salles, R., </w:t>
      </w:r>
      <w:proofErr w:type="spellStart"/>
      <w:r w:rsidRPr="00B22022">
        <w:rPr>
          <w:lang w:val="es-MX"/>
        </w:rPr>
        <w:t>Belloze</w:t>
      </w:r>
      <w:proofErr w:type="spellEnd"/>
      <w:r w:rsidRPr="00B22022">
        <w:rPr>
          <w:lang w:val="es-MX"/>
        </w:rPr>
        <w:t xml:space="preserve">, K., Porto, F., Gonzalez, P. H., &amp; Ogasawara, E. (2019). </w:t>
      </w:r>
      <w:r>
        <w:t>Nonstationary time series transformation methods: An experimental review. Knowledge-Based Systems, 164, 274–291. https://doi.org/https://doi.org/10.1016/j.knosys.2018.10.041</w:t>
      </w:r>
    </w:p>
    <w:p w14:paraId="584D972C" w14:textId="77777777" w:rsidR="00B22022" w:rsidRDefault="00B22022" w:rsidP="00B22022">
      <w:r>
        <w:t xml:space="preserve">Schulze-Riegert, R., &amp; </w:t>
      </w:r>
      <w:proofErr w:type="spellStart"/>
      <w:r>
        <w:t>Ghedan</w:t>
      </w:r>
      <w:proofErr w:type="spellEnd"/>
      <w:r>
        <w:t>, S. (2007). Modern Techniques for History Matching.</w:t>
      </w:r>
    </w:p>
    <w:p w14:paraId="33AD56DD" w14:textId="77777777" w:rsidR="00B22022" w:rsidRDefault="00B22022" w:rsidP="00B22022">
      <w:r w:rsidRPr="00B22022">
        <w:rPr>
          <w:lang w:val="es-MX"/>
        </w:rPr>
        <w:t xml:space="preserve">Sharma, V., Cali, Ü., Sardana, B., </w:t>
      </w:r>
      <w:proofErr w:type="spellStart"/>
      <w:r w:rsidRPr="00B22022">
        <w:rPr>
          <w:lang w:val="es-MX"/>
        </w:rPr>
        <w:t>Kuzlu</w:t>
      </w:r>
      <w:proofErr w:type="spellEnd"/>
      <w:r w:rsidRPr="00B22022">
        <w:rPr>
          <w:lang w:val="es-MX"/>
        </w:rPr>
        <w:t xml:space="preserve">, M., </w:t>
      </w:r>
      <w:proofErr w:type="spellStart"/>
      <w:r w:rsidRPr="00B22022">
        <w:rPr>
          <w:lang w:val="es-MX"/>
        </w:rPr>
        <w:t>Banga</w:t>
      </w:r>
      <w:proofErr w:type="spellEnd"/>
      <w:r w:rsidRPr="00B22022">
        <w:rPr>
          <w:lang w:val="es-MX"/>
        </w:rPr>
        <w:t xml:space="preserve">, D., &amp; </w:t>
      </w:r>
      <w:proofErr w:type="spellStart"/>
      <w:r w:rsidRPr="00B22022">
        <w:rPr>
          <w:lang w:val="es-MX"/>
        </w:rPr>
        <w:t>Pipattanasomporn</w:t>
      </w:r>
      <w:proofErr w:type="spellEnd"/>
      <w:r w:rsidRPr="00B22022">
        <w:rPr>
          <w:lang w:val="es-MX"/>
        </w:rPr>
        <w:t xml:space="preserve">, M. (2021). </w:t>
      </w:r>
      <w:r>
        <w:t>Data-driven short-term natural gas demand forecasting with machine learning techniques. Journal of Petroleum Science and Engineering, 206, 108979. https://doi.org/https://doi.org/10.1016/j.petrol.2021.108979</w:t>
      </w:r>
    </w:p>
    <w:p w14:paraId="1BEA3AFF" w14:textId="77777777" w:rsidR="00B22022" w:rsidRDefault="00B22022" w:rsidP="00B22022">
      <w:r>
        <w:t>Sun, J., Ma, X., &amp; Kazi, M. (2018). Comparison of Decline Curve Analysis DCA with Recursive Neural Networks RNN for Production Forecast of Multiple Wells. In SPE Western Regional Meeting (p. D041S012R009). https://doi.org/10.2118/190104-MS</w:t>
      </w:r>
    </w:p>
    <w:p w14:paraId="03E612E5" w14:textId="77777777" w:rsidR="00B22022" w:rsidRDefault="00B22022" w:rsidP="00B22022">
      <w:r w:rsidRPr="00B22022">
        <w:rPr>
          <w:lang w:val="es-MX"/>
        </w:rPr>
        <w:t xml:space="preserve">Sun, Y., Ma, X., </w:t>
      </w:r>
      <w:proofErr w:type="spellStart"/>
      <w:r w:rsidRPr="00B22022">
        <w:rPr>
          <w:lang w:val="es-MX"/>
        </w:rPr>
        <w:t>Guo</w:t>
      </w:r>
      <w:proofErr w:type="spellEnd"/>
      <w:r w:rsidRPr="00B22022">
        <w:rPr>
          <w:lang w:val="es-MX"/>
        </w:rPr>
        <w:t xml:space="preserve">, W., Jia, R., &amp; Li, B. (2019). </w:t>
      </w:r>
      <w:r>
        <w:t>Numerical simulation of the short- and long-term production behavior of the first offshore gas hydrate production test in the South China Sea. Journal of Petroleum Science and Engineering, 181, 106196. https://doi.org/https://doi.org/10.1016/j.petrol.2019.106196</w:t>
      </w:r>
    </w:p>
    <w:p w14:paraId="2C6F8EE5" w14:textId="77777777" w:rsidR="00B22022" w:rsidRDefault="00B22022" w:rsidP="00B22022">
      <w:proofErr w:type="spellStart"/>
      <w:r>
        <w:t>Sutskever</w:t>
      </w:r>
      <w:proofErr w:type="spellEnd"/>
      <w:r>
        <w:t xml:space="preserve">, I., </w:t>
      </w:r>
      <w:proofErr w:type="spellStart"/>
      <w:r>
        <w:t>Vinyals</w:t>
      </w:r>
      <w:proofErr w:type="spellEnd"/>
      <w:r>
        <w:t>, O., &amp; Le, Q. V. (2014). Sequence to sequence learning with neural networks. Advances in Neural Information Processing Systems, 27.</w:t>
      </w:r>
    </w:p>
    <w:p w14:paraId="4EC9A768" w14:textId="77777777" w:rsidR="00B22022" w:rsidRDefault="00B22022" w:rsidP="00B22022">
      <w:proofErr w:type="spellStart"/>
      <w:r>
        <w:lastRenderedPageBreak/>
        <w:t>Tadjer</w:t>
      </w:r>
      <w:proofErr w:type="spellEnd"/>
      <w:r>
        <w:t xml:space="preserve">, A., Hong, A., &amp; </w:t>
      </w:r>
      <w:proofErr w:type="spellStart"/>
      <w:r>
        <w:t>Bratvold</w:t>
      </w:r>
      <w:proofErr w:type="spellEnd"/>
      <w:r>
        <w:t>, R. B. (2021). Machine learning based decline curve analysis for short-term oil production forecast. Energy Exploration &amp; Exploitation, 39(5), 1747–1769. https://doi.org/10.1177/01445987211011784</w:t>
      </w:r>
    </w:p>
    <w:p w14:paraId="29280DCF" w14:textId="77777777" w:rsidR="00B22022" w:rsidRDefault="00B22022" w:rsidP="00B22022">
      <w:r>
        <w:t xml:space="preserve">Tay, Y., </w:t>
      </w:r>
      <w:proofErr w:type="spellStart"/>
      <w:r>
        <w:t>Bahri</w:t>
      </w:r>
      <w:proofErr w:type="spellEnd"/>
      <w:r>
        <w:t xml:space="preserve">, D., Metzler, D., Juan, D.-C., Zhao, Z., &amp; Zheng, C. (2021). Synthesizer: Rethinking Self-Attention for Transformer Models. In M. </w:t>
      </w:r>
      <w:proofErr w:type="spellStart"/>
      <w:r>
        <w:t>Meila</w:t>
      </w:r>
      <w:proofErr w:type="spellEnd"/>
      <w:r>
        <w:t xml:space="preserve"> &amp; T. Zhang (Eds.), Proceedings of the 38th International Conference on Machine Learning (Vol. 139, pp. 10183–10192). PMLR. https://proceedings.mlr.press/v139/tay21a.html</w:t>
      </w:r>
    </w:p>
    <w:p w14:paraId="00A68D8D" w14:textId="77777777" w:rsidR="00B22022" w:rsidRDefault="00B22022" w:rsidP="00B22022">
      <w:r>
        <w:t xml:space="preserve">Vaswani, A., </w:t>
      </w:r>
      <w:proofErr w:type="spellStart"/>
      <w:r>
        <w:t>Shazeer</w:t>
      </w:r>
      <w:proofErr w:type="spellEnd"/>
      <w:r>
        <w:t xml:space="preserve">, N., Parmar, N., </w:t>
      </w:r>
      <w:proofErr w:type="spellStart"/>
      <w:r>
        <w:t>Uszkoreit</w:t>
      </w:r>
      <w:proofErr w:type="spellEnd"/>
      <w:r>
        <w:t xml:space="preserve">, J., Jones, L., Gomez, A. N., Kaiser, Ł., &amp; </w:t>
      </w:r>
      <w:proofErr w:type="spellStart"/>
      <w:r>
        <w:t>Polosukhin</w:t>
      </w:r>
      <w:proofErr w:type="spellEnd"/>
      <w:r>
        <w:t xml:space="preserve">, I. (2017). Attention is All you Need. In I. Guyon, U. V </w:t>
      </w:r>
      <w:proofErr w:type="spellStart"/>
      <w:r>
        <w:t>Luxburg</w:t>
      </w:r>
      <w:proofErr w:type="spellEnd"/>
      <w:r>
        <w:t xml:space="preserve">, S. </w:t>
      </w:r>
      <w:proofErr w:type="spellStart"/>
      <w:r>
        <w:t>Bengio</w:t>
      </w:r>
      <w:proofErr w:type="spellEnd"/>
      <w:r>
        <w:t xml:space="preserve">, H. Wallach, R. Fergus, S. </w:t>
      </w:r>
      <w:proofErr w:type="spellStart"/>
      <w:r>
        <w:t>Vishwanathan</w:t>
      </w:r>
      <w:proofErr w:type="spellEnd"/>
      <w:r>
        <w:t>, &amp; R. Garnett (Eds.), Advances in Neural Information Processing Systems (Vol. 30). Curran Associates, Inc. https://proceedings.neurips.cc/paper/2017/file/3f5ee243547dee91fbd053c1c4a845aa-Paper.pdf</w:t>
      </w:r>
    </w:p>
    <w:p w14:paraId="10911B6A" w14:textId="77777777" w:rsidR="00B22022" w:rsidRDefault="00B22022" w:rsidP="00B22022">
      <w:r>
        <w:t xml:space="preserve">Vincent, G., </w:t>
      </w:r>
      <w:proofErr w:type="spellStart"/>
      <w:r>
        <w:t>Corre</w:t>
      </w:r>
      <w:proofErr w:type="spellEnd"/>
      <w:r>
        <w:t xml:space="preserve">, B., &amp; </w:t>
      </w:r>
      <w:proofErr w:type="spellStart"/>
      <w:r>
        <w:t>Thore</w:t>
      </w:r>
      <w:proofErr w:type="spellEnd"/>
      <w:r>
        <w:t>, P. (1999). Managing Structural Uncertainty in a Mature Field for Optimal Well Placement. SPE Reservoir Evaluation &amp; Engineering, 2(04), 377–384. https://doi.org/10.2118/57468-PA</w:t>
      </w:r>
    </w:p>
    <w:p w14:paraId="29D56609" w14:textId="77777777" w:rsidR="00B22022" w:rsidRDefault="00B22022" w:rsidP="00B22022">
      <w:r>
        <w:t xml:space="preserve">Wang, W., Fan, D., Sheng, G., Chen, Z., &amp; </w:t>
      </w:r>
      <w:proofErr w:type="spellStart"/>
      <w:r>
        <w:t>Su</w:t>
      </w:r>
      <w:proofErr w:type="spellEnd"/>
      <w:r>
        <w:t>, Y. (2019). A review of analytical and semi-analytical fluid flow models for ultra-tight hydrocarbon reservoirs. Fuel, 256, 115737. https://doi.org/https://doi.org/10.1016/j.fuel.2019.115737</w:t>
      </w:r>
    </w:p>
    <w:p w14:paraId="0785E95B" w14:textId="77777777" w:rsidR="00B22022" w:rsidRDefault="00B22022" w:rsidP="00B22022">
      <w:r>
        <w:t>Xiang, H., Zou, Q., Nawaz, M. A., Huang, X., Zhang, F., &amp; Yu, H. (2023). Deep learning for image inpainting: A survey. Pattern Recognition, 134, 109046. https://doi.org/https://doi.org/10.1016/j.patcog.2022.109046</w:t>
      </w:r>
    </w:p>
    <w:p w14:paraId="3755F5B1" w14:textId="77777777" w:rsidR="00B22022" w:rsidRDefault="00B22022" w:rsidP="00B22022">
      <w:r>
        <w:lastRenderedPageBreak/>
        <w:t>Xu, F., Yu, W., Li, X., Miao, J., Zhao, G., Sepehrnoori, K., Li, X., Jin, J., &amp; Wen, G. (2018). A Fast EDFM Method for Production Simulation of Complex Fractures in Naturally Fractured Reservoirs. In SPE/AAPG Eastern Regional Meeting (p. D043S007R001). https://doi.org/10.2118/191800-18ERM-MS</w:t>
      </w:r>
    </w:p>
    <w:p w14:paraId="77BF5287" w14:textId="77777777" w:rsidR="00B22022" w:rsidRDefault="00B22022" w:rsidP="00B22022">
      <w:r>
        <w:t>Xu, Y., &amp; Goodacre, R. (2018). On Splitting Training and Validation Set: A Comparative Study of Cross-Validation, Bootstrap and Systematic Sampling for Estimating the Generalization Performance of Supervised Learning. Journal of Analysis and Testing, 2(3), 249–262. https://doi.org/10.1007/s41664-018-0068-2</w:t>
      </w:r>
    </w:p>
    <w:p w14:paraId="01CDECF9" w14:textId="77777777" w:rsidR="00B22022" w:rsidRDefault="00B22022" w:rsidP="00B22022">
      <w:r>
        <w:t>Yang, M., &amp; Foster, J. T. (2022). Multi-output physics-informed neural networks for forward and inverse PDE problems with uncertainties. Computer Methods in Applied Mechanics and Engineering, 402, 115041. https://doi.org/https://doi.org/10.1016/j.cma.2022.115041</w:t>
      </w:r>
    </w:p>
    <w:p w14:paraId="5408BD89" w14:textId="77777777" w:rsidR="00B22022" w:rsidRDefault="00B22022" w:rsidP="00B22022">
      <w:r>
        <w:t>Zhong, Z., Sun, A. Y., Wang, Y., &amp; Ren, B. (2020). Predicting field production rates for waterflooding using a machine learning-based proxy model. Journal of Petroleum Science and Engineering, 194, 107574. https://doi.org/https://doi.org/10.1016/j.petrol.2020.107574</w:t>
      </w:r>
    </w:p>
    <w:p w14:paraId="6E5C09A2" w14:textId="77777777" w:rsidR="00B22022" w:rsidRDefault="00B22022" w:rsidP="00B22022">
      <w:r>
        <w:t xml:space="preserve">Zhou, Q., </w:t>
      </w:r>
      <w:proofErr w:type="spellStart"/>
      <w:r>
        <w:t>Dilmore</w:t>
      </w:r>
      <w:proofErr w:type="spellEnd"/>
      <w:r>
        <w:t xml:space="preserve">, R., </w:t>
      </w:r>
      <w:proofErr w:type="spellStart"/>
      <w:r>
        <w:t>Kleit</w:t>
      </w:r>
      <w:proofErr w:type="spellEnd"/>
      <w:r>
        <w:t xml:space="preserve">, A., &amp; Wang, J. Y. (2014). Evaluating gas production performances in </w:t>
      </w:r>
      <w:proofErr w:type="spellStart"/>
      <w:r>
        <w:t>marcellus</w:t>
      </w:r>
      <w:proofErr w:type="spellEnd"/>
      <w:r>
        <w:t xml:space="preserve"> using data mining technologies. Journal of Natural Gas Science and Engineering, 20, 109–120. https://doi.org/https://doi.org/10.1016/j.jngse.2014.06.014</w:t>
      </w:r>
    </w:p>
    <w:p w14:paraId="5BEA8D07" w14:textId="77777777" w:rsidR="004B4EB6" w:rsidRPr="004B4EB6" w:rsidRDefault="00B22022" w:rsidP="00B22022">
      <w:proofErr w:type="spellStart"/>
      <w:r>
        <w:t>Zongxiao</w:t>
      </w:r>
      <w:proofErr w:type="spellEnd"/>
      <w:r>
        <w:t xml:space="preserve">, R., </w:t>
      </w:r>
      <w:proofErr w:type="spellStart"/>
      <w:r>
        <w:t>Xiaodong</w:t>
      </w:r>
      <w:proofErr w:type="spellEnd"/>
      <w:r>
        <w:t xml:space="preserve">, W., Dandan, L., Rui, R., Wei, G., </w:t>
      </w:r>
      <w:proofErr w:type="spellStart"/>
      <w:r>
        <w:t>Zhiming</w:t>
      </w:r>
      <w:proofErr w:type="spellEnd"/>
      <w:r>
        <w:t xml:space="preserve">, C., Jiaming, Z., </w:t>
      </w:r>
      <w:proofErr w:type="spellStart"/>
      <w:r>
        <w:t>Xiaojun</w:t>
      </w:r>
      <w:proofErr w:type="spellEnd"/>
      <w:r>
        <w:t xml:space="preserve">, W., Heng, Z., &amp; </w:t>
      </w:r>
      <w:proofErr w:type="spellStart"/>
      <w:r>
        <w:t>Zhaoguang</w:t>
      </w:r>
      <w:proofErr w:type="spellEnd"/>
      <w:r>
        <w:t xml:space="preserve">, T. (2016). Semi-analytical model of the transient </w:t>
      </w:r>
      <w:r>
        <w:lastRenderedPageBreak/>
        <w:t>pressure behavior of complex fracture networks in tight oil reservoirs. Journal of Natural Gas Science and Engineering, 35, 497–508. https://doi.org/https://doi.org/10.1016/j.jngse.2016.09.006</w:t>
      </w:r>
    </w:p>
    <w:sectPr w:rsidR="004B4EB6" w:rsidRPr="004B4EB6" w:rsidSect="003D11F7">
      <w:pgSz w:w="12240" w:h="15840"/>
      <w:pgMar w:top="1440" w:right="1440" w:bottom="1440" w:left="1440" w:header="720" w:footer="720" w:gutter="0"/>
      <w:lnNumType w:countBy="1" w:restart="newSectio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F2A99" w14:textId="77777777" w:rsidR="009A21D0" w:rsidRDefault="009A21D0" w:rsidP="004A267A">
      <w:pPr>
        <w:spacing w:after="0" w:line="240" w:lineRule="auto"/>
      </w:pPr>
      <w:r>
        <w:separator/>
      </w:r>
    </w:p>
  </w:endnote>
  <w:endnote w:type="continuationSeparator" w:id="0">
    <w:p w14:paraId="01605AB7" w14:textId="77777777" w:rsidR="009A21D0" w:rsidRDefault="009A21D0" w:rsidP="004A267A">
      <w:pPr>
        <w:spacing w:after="0" w:line="240" w:lineRule="auto"/>
      </w:pPr>
      <w:r>
        <w:continuationSeparator/>
      </w:r>
    </w:p>
  </w:endnote>
  <w:endnote w:type="continuationNotice" w:id="1">
    <w:p w14:paraId="4B186E6F" w14:textId="77777777" w:rsidR="009A21D0" w:rsidRDefault="009A21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C4419" w14:textId="77777777" w:rsidR="009A21D0" w:rsidRDefault="009A21D0" w:rsidP="004A267A">
      <w:pPr>
        <w:spacing w:after="0" w:line="240" w:lineRule="auto"/>
      </w:pPr>
      <w:r>
        <w:separator/>
      </w:r>
    </w:p>
  </w:footnote>
  <w:footnote w:type="continuationSeparator" w:id="0">
    <w:p w14:paraId="02BE1509" w14:textId="77777777" w:rsidR="009A21D0" w:rsidRDefault="009A21D0" w:rsidP="004A267A">
      <w:pPr>
        <w:spacing w:after="0" w:line="240" w:lineRule="auto"/>
      </w:pPr>
      <w:r>
        <w:continuationSeparator/>
      </w:r>
    </w:p>
  </w:footnote>
  <w:footnote w:type="continuationNotice" w:id="1">
    <w:p w14:paraId="2F1E4F4B" w14:textId="77777777" w:rsidR="009A21D0" w:rsidRDefault="009A21D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2D18"/>
    <w:multiLevelType w:val="hybridMultilevel"/>
    <w:tmpl w:val="4FF87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C7B82"/>
    <w:multiLevelType w:val="hybridMultilevel"/>
    <w:tmpl w:val="004EE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96416C"/>
    <w:multiLevelType w:val="hybridMultilevel"/>
    <w:tmpl w:val="0BCABE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A0179"/>
    <w:multiLevelType w:val="hybridMultilevel"/>
    <w:tmpl w:val="0BCABE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9117BE"/>
    <w:multiLevelType w:val="hybridMultilevel"/>
    <w:tmpl w:val="2E943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DE4085"/>
    <w:multiLevelType w:val="hybridMultilevel"/>
    <w:tmpl w:val="02106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F670E3"/>
    <w:multiLevelType w:val="hybridMultilevel"/>
    <w:tmpl w:val="E3D62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064B6D"/>
    <w:multiLevelType w:val="hybridMultilevel"/>
    <w:tmpl w:val="D3446B8E"/>
    <w:lvl w:ilvl="0" w:tplc="C2AA9CEE">
      <w:start w:val="1"/>
      <w:numFmt w:val="bullet"/>
      <w:lvlText w:val="•"/>
      <w:lvlJc w:val="left"/>
      <w:pPr>
        <w:tabs>
          <w:tab w:val="num" w:pos="720"/>
        </w:tabs>
        <w:ind w:left="720" w:hanging="360"/>
      </w:pPr>
      <w:rPr>
        <w:rFonts w:ascii="Arial" w:hAnsi="Arial" w:hint="default"/>
      </w:rPr>
    </w:lvl>
    <w:lvl w:ilvl="1" w:tplc="CE562E7E" w:tentative="1">
      <w:start w:val="1"/>
      <w:numFmt w:val="bullet"/>
      <w:lvlText w:val="•"/>
      <w:lvlJc w:val="left"/>
      <w:pPr>
        <w:tabs>
          <w:tab w:val="num" w:pos="1440"/>
        </w:tabs>
        <w:ind w:left="1440" w:hanging="360"/>
      </w:pPr>
      <w:rPr>
        <w:rFonts w:ascii="Arial" w:hAnsi="Arial" w:hint="default"/>
      </w:rPr>
    </w:lvl>
    <w:lvl w:ilvl="2" w:tplc="1D7C658C" w:tentative="1">
      <w:start w:val="1"/>
      <w:numFmt w:val="bullet"/>
      <w:lvlText w:val="•"/>
      <w:lvlJc w:val="left"/>
      <w:pPr>
        <w:tabs>
          <w:tab w:val="num" w:pos="2160"/>
        </w:tabs>
        <w:ind w:left="2160" w:hanging="360"/>
      </w:pPr>
      <w:rPr>
        <w:rFonts w:ascii="Arial" w:hAnsi="Arial" w:hint="default"/>
      </w:rPr>
    </w:lvl>
    <w:lvl w:ilvl="3" w:tplc="34C0F976" w:tentative="1">
      <w:start w:val="1"/>
      <w:numFmt w:val="bullet"/>
      <w:lvlText w:val="•"/>
      <w:lvlJc w:val="left"/>
      <w:pPr>
        <w:tabs>
          <w:tab w:val="num" w:pos="2880"/>
        </w:tabs>
        <w:ind w:left="2880" w:hanging="360"/>
      </w:pPr>
      <w:rPr>
        <w:rFonts w:ascii="Arial" w:hAnsi="Arial" w:hint="default"/>
      </w:rPr>
    </w:lvl>
    <w:lvl w:ilvl="4" w:tplc="B34A9A3E" w:tentative="1">
      <w:start w:val="1"/>
      <w:numFmt w:val="bullet"/>
      <w:lvlText w:val="•"/>
      <w:lvlJc w:val="left"/>
      <w:pPr>
        <w:tabs>
          <w:tab w:val="num" w:pos="3600"/>
        </w:tabs>
        <w:ind w:left="3600" w:hanging="360"/>
      </w:pPr>
      <w:rPr>
        <w:rFonts w:ascii="Arial" w:hAnsi="Arial" w:hint="default"/>
      </w:rPr>
    </w:lvl>
    <w:lvl w:ilvl="5" w:tplc="BDAA9624" w:tentative="1">
      <w:start w:val="1"/>
      <w:numFmt w:val="bullet"/>
      <w:lvlText w:val="•"/>
      <w:lvlJc w:val="left"/>
      <w:pPr>
        <w:tabs>
          <w:tab w:val="num" w:pos="4320"/>
        </w:tabs>
        <w:ind w:left="4320" w:hanging="360"/>
      </w:pPr>
      <w:rPr>
        <w:rFonts w:ascii="Arial" w:hAnsi="Arial" w:hint="default"/>
      </w:rPr>
    </w:lvl>
    <w:lvl w:ilvl="6" w:tplc="8670F57E" w:tentative="1">
      <w:start w:val="1"/>
      <w:numFmt w:val="bullet"/>
      <w:lvlText w:val="•"/>
      <w:lvlJc w:val="left"/>
      <w:pPr>
        <w:tabs>
          <w:tab w:val="num" w:pos="5040"/>
        </w:tabs>
        <w:ind w:left="5040" w:hanging="360"/>
      </w:pPr>
      <w:rPr>
        <w:rFonts w:ascii="Arial" w:hAnsi="Arial" w:hint="default"/>
      </w:rPr>
    </w:lvl>
    <w:lvl w:ilvl="7" w:tplc="6A06E53C" w:tentative="1">
      <w:start w:val="1"/>
      <w:numFmt w:val="bullet"/>
      <w:lvlText w:val="•"/>
      <w:lvlJc w:val="left"/>
      <w:pPr>
        <w:tabs>
          <w:tab w:val="num" w:pos="5760"/>
        </w:tabs>
        <w:ind w:left="5760" w:hanging="360"/>
      </w:pPr>
      <w:rPr>
        <w:rFonts w:ascii="Arial" w:hAnsi="Arial" w:hint="default"/>
      </w:rPr>
    </w:lvl>
    <w:lvl w:ilvl="8" w:tplc="AFF27B1C" w:tentative="1">
      <w:start w:val="1"/>
      <w:numFmt w:val="bullet"/>
      <w:lvlText w:val="•"/>
      <w:lvlJc w:val="left"/>
      <w:pPr>
        <w:tabs>
          <w:tab w:val="num" w:pos="6480"/>
        </w:tabs>
        <w:ind w:left="6480" w:hanging="360"/>
      </w:pPr>
      <w:rPr>
        <w:rFonts w:ascii="Arial" w:hAnsi="Arial" w:hint="default"/>
      </w:rPr>
    </w:lvl>
  </w:abstractNum>
  <w:num w:numId="1" w16cid:durableId="1751078299">
    <w:abstractNumId w:val="5"/>
  </w:num>
  <w:num w:numId="2" w16cid:durableId="2062553249">
    <w:abstractNumId w:val="1"/>
  </w:num>
  <w:num w:numId="3" w16cid:durableId="18354915">
    <w:abstractNumId w:val="2"/>
  </w:num>
  <w:num w:numId="4" w16cid:durableId="1183595478">
    <w:abstractNumId w:val="7"/>
  </w:num>
  <w:num w:numId="5" w16cid:durableId="1406756429">
    <w:abstractNumId w:val="4"/>
  </w:num>
  <w:num w:numId="6" w16cid:durableId="1777602553">
    <w:abstractNumId w:val="0"/>
  </w:num>
  <w:num w:numId="7" w16cid:durableId="1278559881">
    <w:abstractNumId w:val="6"/>
  </w:num>
  <w:num w:numId="8" w16cid:durableId="12907491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M0MzI1MTY3tjC2MDFS0lEKTi0uzszPAykwNLCoBQD9WawDLgAAAA=="/>
  </w:docVars>
  <w:rsids>
    <w:rsidRoot w:val="00161E8C"/>
    <w:rsid w:val="000007E7"/>
    <w:rsid w:val="00000AFE"/>
    <w:rsid w:val="00000BCB"/>
    <w:rsid w:val="00001036"/>
    <w:rsid w:val="0000207B"/>
    <w:rsid w:val="00002E33"/>
    <w:rsid w:val="0000318F"/>
    <w:rsid w:val="000039A2"/>
    <w:rsid w:val="00003BAE"/>
    <w:rsid w:val="000044C9"/>
    <w:rsid w:val="000046B3"/>
    <w:rsid w:val="00005C10"/>
    <w:rsid w:val="0000617C"/>
    <w:rsid w:val="0000664B"/>
    <w:rsid w:val="000072C9"/>
    <w:rsid w:val="00007B93"/>
    <w:rsid w:val="00007EE3"/>
    <w:rsid w:val="00010A83"/>
    <w:rsid w:val="00010F63"/>
    <w:rsid w:val="0001163B"/>
    <w:rsid w:val="00012A27"/>
    <w:rsid w:val="000130ED"/>
    <w:rsid w:val="000133B0"/>
    <w:rsid w:val="0001349A"/>
    <w:rsid w:val="00013D1D"/>
    <w:rsid w:val="00014100"/>
    <w:rsid w:val="00015182"/>
    <w:rsid w:val="000154B9"/>
    <w:rsid w:val="00015C00"/>
    <w:rsid w:val="00015DA3"/>
    <w:rsid w:val="00016236"/>
    <w:rsid w:val="00016D45"/>
    <w:rsid w:val="00016FDB"/>
    <w:rsid w:val="0001722E"/>
    <w:rsid w:val="000205B9"/>
    <w:rsid w:val="00020607"/>
    <w:rsid w:val="0002069E"/>
    <w:rsid w:val="000213EE"/>
    <w:rsid w:val="000214B9"/>
    <w:rsid w:val="00022242"/>
    <w:rsid w:val="00022F3E"/>
    <w:rsid w:val="000238EF"/>
    <w:rsid w:val="00024394"/>
    <w:rsid w:val="000247E5"/>
    <w:rsid w:val="00024EAF"/>
    <w:rsid w:val="0002512F"/>
    <w:rsid w:val="00025777"/>
    <w:rsid w:val="00025A9C"/>
    <w:rsid w:val="00025F34"/>
    <w:rsid w:val="00026469"/>
    <w:rsid w:val="000278DD"/>
    <w:rsid w:val="000307CA"/>
    <w:rsid w:val="00030EA8"/>
    <w:rsid w:val="00030EF0"/>
    <w:rsid w:val="0003103A"/>
    <w:rsid w:val="0003165E"/>
    <w:rsid w:val="00031F3E"/>
    <w:rsid w:val="00033158"/>
    <w:rsid w:val="000332DA"/>
    <w:rsid w:val="00033F56"/>
    <w:rsid w:val="0003453B"/>
    <w:rsid w:val="00034D2B"/>
    <w:rsid w:val="00034DD1"/>
    <w:rsid w:val="000353A0"/>
    <w:rsid w:val="0003583E"/>
    <w:rsid w:val="00037054"/>
    <w:rsid w:val="00037651"/>
    <w:rsid w:val="0003798D"/>
    <w:rsid w:val="000379C7"/>
    <w:rsid w:val="00037EFF"/>
    <w:rsid w:val="000407F3"/>
    <w:rsid w:val="00040CA0"/>
    <w:rsid w:val="000411DE"/>
    <w:rsid w:val="0004125F"/>
    <w:rsid w:val="0004166A"/>
    <w:rsid w:val="00041B76"/>
    <w:rsid w:val="00041BBF"/>
    <w:rsid w:val="000429DF"/>
    <w:rsid w:val="00042B50"/>
    <w:rsid w:val="00042DC1"/>
    <w:rsid w:val="0004387D"/>
    <w:rsid w:val="0004425A"/>
    <w:rsid w:val="000449B4"/>
    <w:rsid w:val="00044AEA"/>
    <w:rsid w:val="00044B0B"/>
    <w:rsid w:val="00044F50"/>
    <w:rsid w:val="000450A1"/>
    <w:rsid w:val="00045325"/>
    <w:rsid w:val="00045884"/>
    <w:rsid w:val="000459A3"/>
    <w:rsid w:val="00045C32"/>
    <w:rsid w:val="00045EFA"/>
    <w:rsid w:val="00045F86"/>
    <w:rsid w:val="000464A3"/>
    <w:rsid w:val="000476AE"/>
    <w:rsid w:val="000479EA"/>
    <w:rsid w:val="000500BA"/>
    <w:rsid w:val="000508B1"/>
    <w:rsid w:val="000509BA"/>
    <w:rsid w:val="00050A9B"/>
    <w:rsid w:val="00050BF4"/>
    <w:rsid w:val="00050CE7"/>
    <w:rsid w:val="00051360"/>
    <w:rsid w:val="0005182B"/>
    <w:rsid w:val="00052C03"/>
    <w:rsid w:val="00052DC6"/>
    <w:rsid w:val="00052E81"/>
    <w:rsid w:val="00052EA0"/>
    <w:rsid w:val="00052F1F"/>
    <w:rsid w:val="000532E6"/>
    <w:rsid w:val="00054A0B"/>
    <w:rsid w:val="00054D5F"/>
    <w:rsid w:val="0005526A"/>
    <w:rsid w:val="00056029"/>
    <w:rsid w:val="00057041"/>
    <w:rsid w:val="000576EE"/>
    <w:rsid w:val="00057A36"/>
    <w:rsid w:val="00061371"/>
    <w:rsid w:val="00061C1F"/>
    <w:rsid w:val="000621CA"/>
    <w:rsid w:val="00062A9C"/>
    <w:rsid w:val="00062F7B"/>
    <w:rsid w:val="000632E9"/>
    <w:rsid w:val="00063829"/>
    <w:rsid w:val="0006386E"/>
    <w:rsid w:val="00063941"/>
    <w:rsid w:val="00063BE9"/>
    <w:rsid w:val="00064936"/>
    <w:rsid w:val="000649B8"/>
    <w:rsid w:val="00064BF1"/>
    <w:rsid w:val="00064E07"/>
    <w:rsid w:val="00064FB1"/>
    <w:rsid w:val="00065736"/>
    <w:rsid w:val="00066F3C"/>
    <w:rsid w:val="00067261"/>
    <w:rsid w:val="00067584"/>
    <w:rsid w:val="00071157"/>
    <w:rsid w:val="000711BD"/>
    <w:rsid w:val="00071359"/>
    <w:rsid w:val="000714D9"/>
    <w:rsid w:val="00071CF4"/>
    <w:rsid w:val="00071DD1"/>
    <w:rsid w:val="00071DF1"/>
    <w:rsid w:val="0007247D"/>
    <w:rsid w:val="000725B7"/>
    <w:rsid w:val="00072CF4"/>
    <w:rsid w:val="000731C1"/>
    <w:rsid w:val="00073BA7"/>
    <w:rsid w:val="00073CC1"/>
    <w:rsid w:val="00073CF8"/>
    <w:rsid w:val="00074558"/>
    <w:rsid w:val="00074880"/>
    <w:rsid w:val="00074A89"/>
    <w:rsid w:val="000753D3"/>
    <w:rsid w:val="0007543F"/>
    <w:rsid w:val="0007596F"/>
    <w:rsid w:val="00075A4A"/>
    <w:rsid w:val="00076845"/>
    <w:rsid w:val="00076BB9"/>
    <w:rsid w:val="000774DA"/>
    <w:rsid w:val="00077943"/>
    <w:rsid w:val="000803ED"/>
    <w:rsid w:val="0008042C"/>
    <w:rsid w:val="0008042F"/>
    <w:rsid w:val="00080A3D"/>
    <w:rsid w:val="000816DE"/>
    <w:rsid w:val="00081DDF"/>
    <w:rsid w:val="000820FE"/>
    <w:rsid w:val="000826D7"/>
    <w:rsid w:val="000833CE"/>
    <w:rsid w:val="00083EE0"/>
    <w:rsid w:val="00084D4F"/>
    <w:rsid w:val="0008509A"/>
    <w:rsid w:val="00085F30"/>
    <w:rsid w:val="0008632E"/>
    <w:rsid w:val="00086563"/>
    <w:rsid w:val="00086835"/>
    <w:rsid w:val="00086D4B"/>
    <w:rsid w:val="00090824"/>
    <w:rsid w:val="00091021"/>
    <w:rsid w:val="0009113F"/>
    <w:rsid w:val="00091146"/>
    <w:rsid w:val="00091B29"/>
    <w:rsid w:val="00091C71"/>
    <w:rsid w:val="00091DAE"/>
    <w:rsid w:val="0009203F"/>
    <w:rsid w:val="000927DD"/>
    <w:rsid w:val="00092DFF"/>
    <w:rsid w:val="00093460"/>
    <w:rsid w:val="00093A6C"/>
    <w:rsid w:val="00093FF6"/>
    <w:rsid w:val="00094400"/>
    <w:rsid w:val="000946E9"/>
    <w:rsid w:val="00094A27"/>
    <w:rsid w:val="00094EB2"/>
    <w:rsid w:val="00095521"/>
    <w:rsid w:val="00095B76"/>
    <w:rsid w:val="00095FD2"/>
    <w:rsid w:val="00095FEF"/>
    <w:rsid w:val="00096351"/>
    <w:rsid w:val="000963E9"/>
    <w:rsid w:val="00096B33"/>
    <w:rsid w:val="00096D7F"/>
    <w:rsid w:val="000A04BA"/>
    <w:rsid w:val="000A0CEB"/>
    <w:rsid w:val="000A0E29"/>
    <w:rsid w:val="000A1891"/>
    <w:rsid w:val="000A1A51"/>
    <w:rsid w:val="000A1EB0"/>
    <w:rsid w:val="000A22D8"/>
    <w:rsid w:val="000A2322"/>
    <w:rsid w:val="000A2334"/>
    <w:rsid w:val="000A25A5"/>
    <w:rsid w:val="000A35BF"/>
    <w:rsid w:val="000A38BD"/>
    <w:rsid w:val="000A3A90"/>
    <w:rsid w:val="000A3B12"/>
    <w:rsid w:val="000A3CD9"/>
    <w:rsid w:val="000A4265"/>
    <w:rsid w:val="000A4898"/>
    <w:rsid w:val="000A491A"/>
    <w:rsid w:val="000A5630"/>
    <w:rsid w:val="000A5A1E"/>
    <w:rsid w:val="000A5D25"/>
    <w:rsid w:val="000A5DC1"/>
    <w:rsid w:val="000A5E65"/>
    <w:rsid w:val="000A5E96"/>
    <w:rsid w:val="000A65F3"/>
    <w:rsid w:val="000A6BF2"/>
    <w:rsid w:val="000A7CED"/>
    <w:rsid w:val="000B0399"/>
    <w:rsid w:val="000B128C"/>
    <w:rsid w:val="000B1425"/>
    <w:rsid w:val="000B1AF0"/>
    <w:rsid w:val="000B1F89"/>
    <w:rsid w:val="000B2102"/>
    <w:rsid w:val="000B2B7E"/>
    <w:rsid w:val="000B318C"/>
    <w:rsid w:val="000B3E83"/>
    <w:rsid w:val="000B4483"/>
    <w:rsid w:val="000B4782"/>
    <w:rsid w:val="000B524C"/>
    <w:rsid w:val="000B61E2"/>
    <w:rsid w:val="000B69A8"/>
    <w:rsid w:val="000B6C62"/>
    <w:rsid w:val="000B799E"/>
    <w:rsid w:val="000B7F76"/>
    <w:rsid w:val="000C00FF"/>
    <w:rsid w:val="000C0BFD"/>
    <w:rsid w:val="000C102F"/>
    <w:rsid w:val="000C22B3"/>
    <w:rsid w:val="000C255A"/>
    <w:rsid w:val="000C2CE7"/>
    <w:rsid w:val="000C32ED"/>
    <w:rsid w:val="000C399E"/>
    <w:rsid w:val="000C482F"/>
    <w:rsid w:val="000C4DA8"/>
    <w:rsid w:val="000C6AE9"/>
    <w:rsid w:val="000C6B4B"/>
    <w:rsid w:val="000C6CAC"/>
    <w:rsid w:val="000C6EFB"/>
    <w:rsid w:val="000C73F5"/>
    <w:rsid w:val="000C75F8"/>
    <w:rsid w:val="000D081A"/>
    <w:rsid w:val="000D0CC8"/>
    <w:rsid w:val="000D15AE"/>
    <w:rsid w:val="000D1658"/>
    <w:rsid w:val="000D21A6"/>
    <w:rsid w:val="000D2CC3"/>
    <w:rsid w:val="000D32EA"/>
    <w:rsid w:val="000D3845"/>
    <w:rsid w:val="000D3ADD"/>
    <w:rsid w:val="000D42A3"/>
    <w:rsid w:val="000D4914"/>
    <w:rsid w:val="000D56E9"/>
    <w:rsid w:val="000D5C08"/>
    <w:rsid w:val="000D6AC5"/>
    <w:rsid w:val="000D762B"/>
    <w:rsid w:val="000D77C0"/>
    <w:rsid w:val="000D7CE0"/>
    <w:rsid w:val="000D7F4D"/>
    <w:rsid w:val="000D7FA2"/>
    <w:rsid w:val="000E03AC"/>
    <w:rsid w:val="000E0B02"/>
    <w:rsid w:val="000E177C"/>
    <w:rsid w:val="000E2225"/>
    <w:rsid w:val="000E234D"/>
    <w:rsid w:val="000E3105"/>
    <w:rsid w:val="000E312D"/>
    <w:rsid w:val="000E338D"/>
    <w:rsid w:val="000E42C2"/>
    <w:rsid w:val="000E49EB"/>
    <w:rsid w:val="000E4AE6"/>
    <w:rsid w:val="000E4BAE"/>
    <w:rsid w:val="000E4E2B"/>
    <w:rsid w:val="000E4ECC"/>
    <w:rsid w:val="000E4F5E"/>
    <w:rsid w:val="000E5158"/>
    <w:rsid w:val="000E56D5"/>
    <w:rsid w:val="000E5B9C"/>
    <w:rsid w:val="000E5FFD"/>
    <w:rsid w:val="000E64E0"/>
    <w:rsid w:val="000E6657"/>
    <w:rsid w:val="000E6C7E"/>
    <w:rsid w:val="000E6ECB"/>
    <w:rsid w:val="000E7325"/>
    <w:rsid w:val="000F0C9A"/>
    <w:rsid w:val="000F109E"/>
    <w:rsid w:val="000F112E"/>
    <w:rsid w:val="000F131E"/>
    <w:rsid w:val="000F19DD"/>
    <w:rsid w:val="000F2990"/>
    <w:rsid w:val="000F40E6"/>
    <w:rsid w:val="000F47A3"/>
    <w:rsid w:val="000F4D97"/>
    <w:rsid w:val="000F59AC"/>
    <w:rsid w:val="000F611A"/>
    <w:rsid w:val="000F686C"/>
    <w:rsid w:val="000F69AD"/>
    <w:rsid w:val="000F6D16"/>
    <w:rsid w:val="000F6DCA"/>
    <w:rsid w:val="0010032B"/>
    <w:rsid w:val="00101027"/>
    <w:rsid w:val="00101242"/>
    <w:rsid w:val="00101390"/>
    <w:rsid w:val="001017C1"/>
    <w:rsid w:val="001022DC"/>
    <w:rsid w:val="001029B2"/>
    <w:rsid w:val="00102E95"/>
    <w:rsid w:val="00102F31"/>
    <w:rsid w:val="00104743"/>
    <w:rsid w:val="001062BB"/>
    <w:rsid w:val="00106368"/>
    <w:rsid w:val="00107584"/>
    <w:rsid w:val="00110BF3"/>
    <w:rsid w:val="001111A8"/>
    <w:rsid w:val="001114BF"/>
    <w:rsid w:val="00111890"/>
    <w:rsid w:val="00111B93"/>
    <w:rsid w:val="00112ADB"/>
    <w:rsid w:val="00112CD9"/>
    <w:rsid w:val="00113B9A"/>
    <w:rsid w:val="001142E2"/>
    <w:rsid w:val="00114417"/>
    <w:rsid w:val="0011458B"/>
    <w:rsid w:val="001145C1"/>
    <w:rsid w:val="00114749"/>
    <w:rsid w:val="00114BFE"/>
    <w:rsid w:val="00115143"/>
    <w:rsid w:val="001155D6"/>
    <w:rsid w:val="00115AA0"/>
    <w:rsid w:val="00115F37"/>
    <w:rsid w:val="00115F38"/>
    <w:rsid w:val="001163B3"/>
    <w:rsid w:val="00116DF3"/>
    <w:rsid w:val="001170ED"/>
    <w:rsid w:val="001202FB"/>
    <w:rsid w:val="00120434"/>
    <w:rsid w:val="00120A5D"/>
    <w:rsid w:val="00121D01"/>
    <w:rsid w:val="00122952"/>
    <w:rsid w:val="00122A0E"/>
    <w:rsid w:val="00122FA9"/>
    <w:rsid w:val="001234A6"/>
    <w:rsid w:val="001240AD"/>
    <w:rsid w:val="001240B9"/>
    <w:rsid w:val="001243B4"/>
    <w:rsid w:val="00124E2C"/>
    <w:rsid w:val="001255E7"/>
    <w:rsid w:val="00126BB0"/>
    <w:rsid w:val="00126F11"/>
    <w:rsid w:val="0012700A"/>
    <w:rsid w:val="0012718C"/>
    <w:rsid w:val="001278E6"/>
    <w:rsid w:val="00127D02"/>
    <w:rsid w:val="00130964"/>
    <w:rsid w:val="001309DA"/>
    <w:rsid w:val="00130C09"/>
    <w:rsid w:val="001315B0"/>
    <w:rsid w:val="00131777"/>
    <w:rsid w:val="00131A35"/>
    <w:rsid w:val="001335D1"/>
    <w:rsid w:val="001335ED"/>
    <w:rsid w:val="00133B82"/>
    <w:rsid w:val="00133BA4"/>
    <w:rsid w:val="00133F75"/>
    <w:rsid w:val="001340CB"/>
    <w:rsid w:val="001344E8"/>
    <w:rsid w:val="0013464E"/>
    <w:rsid w:val="00134BBF"/>
    <w:rsid w:val="00134BFD"/>
    <w:rsid w:val="00134CB1"/>
    <w:rsid w:val="001352D7"/>
    <w:rsid w:val="00135C29"/>
    <w:rsid w:val="00135F29"/>
    <w:rsid w:val="001363A0"/>
    <w:rsid w:val="00136BAB"/>
    <w:rsid w:val="00136E31"/>
    <w:rsid w:val="00136E68"/>
    <w:rsid w:val="0013720E"/>
    <w:rsid w:val="001374C5"/>
    <w:rsid w:val="00137543"/>
    <w:rsid w:val="00137A32"/>
    <w:rsid w:val="00140C76"/>
    <w:rsid w:val="00140E28"/>
    <w:rsid w:val="00141362"/>
    <w:rsid w:val="00141744"/>
    <w:rsid w:val="0014304D"/>
    <w:rsid w:val="0014389E"/>
    <w:rsid w:val="00143B40"/>
    <w:rsid w:val="001446C7"/>
    <w:rsid w:val="00144886"/>
    <w:rsid w:val="00145022"/>
    <w:rsid w:val="0014504F"/>
    <w:rsid w:val="001458B5"/>
    <w:rsid w:val="0014597B"/>
    <w:rsid w:val="00145E37"/>
    <w:rsid w:val="00146036"/>
    <w:rsid w:val="0014637A"/>
    <w:rsid w:val="00147391"/>
    <w:rsid w:val="00147929"/>
    <w:rsid w:val="00147F03"/>
    <w:rsid w:val="00150DDF"/>
    <w:rsid w:val="00150DEE"/>
    <w:rsid w:val="00151525"/>
    <w:rsid w:val="00151A44"/>
    <w:rsid w:val="001522D2"/>
    <w:rsid w:val="0015288B"/>
    <w:rsid w:val="00152C54"/>
    <w:rsid w:val="0015476B"/>
    <w:rsid w:val="00154C93"/>
    <w:rsid w:val="00154D4E"/>
    <w:rsid w:val="001554C2"/>
    <w:rsid w:val="00155A8C"/>
    <w:rsid w:val="00155E82"/>
    <w:rsid w:val="001560C6"/>
    <w:rsid w:val="001561DC"/>
    <w:rsid w:val="001562D1"/>
    <w:rsid w:val="001568FC"/>
    <w:rsid w:val="00156E84"/>
    <w:rsid w:val="001574DE"/>
    <w:rsid w:val="001579F8"/>
    <w:rsid w:val="00160850"/>
    <w:rsid w:val="00161E65"/>
    <w:rsid w:val="00161E8C"/>
    <w:rsid w:val="001620EA"/>
    <w:rsid w:val="00162D43"/>
    <w:rsid w:val="00162DFF"/>
    <w:rsid w:val="00162E97"/>
    <w:rsid w:val="00163AE3"/>
    <w:rsid w:val="001649E4"/>
    <w:rsid w:val="00164C33"/>
    <w:rsid w:val="00164EA5"/>
    <w:rsid w:val="00165083"/>
    <w:rsid w:val="001653D8"/>
    <w:rsid w:val="00165511"/>
    <w:rsid w:val="00165BA5"/>
    <w:rsid w:val="00165D42"/>
    <w:rsid w:val="00165DC1"/>
    <w:rsid w:val="00166319"/>
    <w:rsid w:val="00166C6D"/>
    <w:rsid w:val="00170CF4"/>
    <w:rsid w:val="00170D38"/>
    <w:rsid w:val="00171A04"/>
    <w:rsid w:val="001720EC"/>
    <w:rsid w:val="001722A5"/>
    <w:rsid w:val="001722B9"/>
    <w:rsid w:val="0017252E"/>
    <w:rsid w:val="00172824"/>
    <w:rsid w:val="00172A44"/>
    <w:rsid w:val="00172FBF"/>
    <w:rsid w:val="00172FFB"/>
    <w:rsid w:val="0017333A"/>
    <w:rsid w:val="001745BC"/>
    <w:rsid w:val="00174E01"/>
    <w:rsid w:val="00175B22"/>
    <w:rsid w:val="001763F0"/>
    <w:rsid w:val="00176BD9"/>
    <w:rsid w:val="00176C60"/>
    <w:rsid w:val="00176D4C"/>
    <w:rsid w:val="00177046"/>
    <w:rsid w:val="001770A7"/>
    <w:rsid w:val="0017731D"/>
    <w:rsid w:val="00177C77"/>
    <w:rsid w:val="00177C90"/>
    <w:rsid w:val="00177F87"/>
    <w:rsid w:val="00180297"/>
    <w:rsid w:val="00180764"/>
    <w:rsid w:val="00180C68"/>
    <w:rsid w:val="00180D24"/>
    <w:rsid w:val="00181003"/>
    <w:rsid w:val="00181068"/>
    <w:rsid w:val="00181312"/>
    <w:rsid w:val="0018135A"/>
    <w:rsid w:val="0018305E"/>
    <w:rsid w:val="0018352C"/>
    <w:rsid w:val="00183ED9"/>
    <w:rsid w:val="001847A4"/>
    <w:rsid w:val="00184AC6"/>
    <w:rsid w:val="00184EB2"/>
    <w:rsid w:val="00184EC6"/>
    <w:rsid w:val="00184F6F"/>
    <w:rsid w:val="00185662"/>
    <w:rsid w:val="00185B77"/>
    <w:rsid w:val="0018669D"/>
    <w:rsid w:val="00186B7F"/>
    <w:rsid w:val="00186C92"/>
    <w:rsid w:val="001871FF"/>
    <w:rsid w:val="00187322"/>
    <w:rsid w:val="00187ED2"/>
    <w:rsid w:val="00190323"/>
    <w:rsid w:val="00191596"/>
    <w:rsid w:val="0019206E"/>
    <w:rsid w:val="00192F67"/>
    <w:rsid w:val="00193877"/>
    <w:rsid w:val="00194383"/>
    <w:rsid w:val="001943D6"/>
    <w:rsid w:val="001947A6"/>
    <w:rsid w:val="00194964"/>
    <w:rsid w:val="00194B24"/>
    <w:rsid w:val="00194CFD"/>
    <w:rsid w:val="00194E1C"/>
    <w:rsid w:val="00195285"/>
    <w:rsid w:val="001962D0"/>
    <w:rsid w:val="0019705E"/>
    <w:rsid w:val="00197597"/>
    <w:rsid w:val="001975A5"/>
    <w:rsid w:val="001A24C9"/>
    <w:rsid w:val="001A2E92"/>
    <w:rsid w:val="001A41A4"/>
    <w:rsid w:val="001A4526"/>
    <w:rsid w:val="001A4B63"/>
    <w:rsid w:val="001A4BAB"/>
    <w:rsid w:val="001A58B4"/>
    <w:rsid w:val="001A5DD9"/>
    <w:rsid w:val="001A5E2B"/>
    <w:rsid w:val="001A690C"/>
    <w:rsid w:val="001A7085"/>
    <w:rsid w:val="001B01D6"/>
    <w:rsid w:val="001B043B"/>
    <w:rsid w:val="001B0C64"/>
    <w:rsid w:val="001B0F58"/>
    <w:rsid w:val="001B10E6"/>
    <w:rsid w:val="001B135A"/>
    <w:rsid w:val="001B1481"/>
    <w:rsid w:val="001B1C45"/>
    <w:rsid w:val="001B2177"/>
    <w:rsid w:val="001B2239"/>
    <w:rsid w:val="001B2371"/>
    <w:rsid w:val="001B2E06"/>
    <w:rsid w:val="001B2F84"/>
    <w:rsid w:val="001B39BA"/>
    <w:rsid w:val="001B3B26"/>
    <w:rsid w:val="001B5876"/>
    <w:rsid w:val="001B5911"/>
    <w:rsid w:val="001B5F44"/>
    <w:rsid w:val="001B699D"/>
    <w:rsid w:val="001B7582"/>
    <w:rsid w:val="001B7969"/>
    <w:rsid w:val="001C0C59"/>
    <w:rsid w:val="001C105A"/>
    <w:rsid w:val="001C171C"/>
    <w:rsid w:val="001C2462"/>
    <w:rsid w:val="001C2A5E"/>
    <w:rsid w:val="001C2AD6"/>
    <w:rsid w:val="001C39FD"/>
    <w:rsid w:val="001C470C"/>
    <w:rsid w:val="001C54F7"/>
    <w:rsid w:val="001C55E1"/>
    <w:rsid w:val="001C5E0F"/>
    <w:rsid w:val="001C68A6"/>
    <w:rsid w:val="001C6AE0"/>
    <w:rsid w:val="001C6E0D"/>
    <w:rsid w:val="001C7020"/>
    <w:rsid w:val="001C726F"/>
    <w:rsid w:val="001C7BBF"/>
    <w:rsid w:val="001D005E"/>
    <w:rsid w:val="001D05D8"/>
    <w:rsid w:val="001D060A"/>
    <w:rsid w:val="001D08A2"/>
    <w:rsid w:val="001D0F1D"/>
    <w:rsid w:val="001D122E"/>
    <w:rsid w:val="001D21D0"/>
    <w:rsid w:val="001D28AF"/>
    <w:rsid w:val="001D2EF8"/>
    <w:rsid w:val="001D31B9"/>
    <w:rsid w:val="001D4D59"/>
    <w:rsid w:val="001D5579"/>
    <w:rsid w:val="001D5A54"/>
    <w:rsid w:val="001D640F"/>
    <w:rsid w:val="001D7131"/>
    <w:rsid w:val="001D73E5"/>
    <w:rsid w:val="001D7D73"/>
    <w:rsid w:val="001E00F8"/>
    <w:rsid w:val="001E02C8"/>
    <w:rsid w:val="001E03AB"/>
    <w:rsid w:val="001E055F"/>
    <w:rsid w:val="001E075D"/>
    <w:rsid w:val="001E0D0B"/>
    <w:rsid w:val="001E1246"/>
    <w:rsid w:val="001E145C"/>
    <w:rsid w:val="001E197F"/>
    <w:rsid w:val="001E1AA2"/>
    <w:rsid w:val="001E20D8"/>
    <w:rsid w:val="001E23DE"/>
    <w:rsid w:val="001E2580"/>
    <w:rsid w:val="001E29A5"/>
    <w:rsid w:val="001E2B83"/>
    <w:rsid w:val="001E3323"/>
    <w:rsid w:val="001E463D"/>
    <w:rsid w:val="001E4DEB"/>
    <w:rsid w:val="001E553B"/>
    <w:rsid w:val="001E55FC"/>
    <w:rsid w:val="001E5682"/>
    <w:rsid w:val="001E67FB"/>
    <w:rsid w:val="001E6BC0"/>
    <w:rsid w:val="001E6C5D"/>
    <w:rsid w:val="001E6CA0"/>
    <w:rsid w:val="001E6CE7"/>
    <w:rsid w:val="001E7013"/>
    <w:rsid w:val="001E74A3"/>
    <w:rsid w:val="001E74A8"/>
    <w:rsid w:val="001E74D9"/>
    <w:rsid w:val="001E7537"/>
    <w:rsid w:val="001E7EE4"/>
    <w:rsid w:val="001F0169"/>
    <w:rsid w:val="001F031A"/>
    <w:rsid w:val="001F05A4"/>
    <w:rsid w:val="001F121B"/>
    <w:rsid w:val="001F21E2"/>
    <w:rsid w:val="001F36C2"/>
    <w:rsid w:val="001F3FBC"/>
    <w:rsid w:val="001F4201"/>
    <w:rsid w:val="001F4E5C"/>
    <w:rsid w:val="001F5A73"/>
    <w:rsid w:val="001F5ADA"/>
    <w:rsid w:val="001F5AF0"/>
    <w:rsid w:val="001F5C4F"/>
    <w:rsid w:val="001F65EC"/>
    <w:rsid w:val="001F6DF8"/>
    <w:rsid w:val="001F7030"/>
    <w:rsid w:val="001F7100"/>
    <w:rsid w:val="001F754D"/>
    <w:rsid w:val="001F7AE4"/>
    <w:rsid w:val="001F7B42"/>
    <w:rsid w:val="001F7FB6"/>
    <w:rsid w:val="00200A50"/>
    <w:rsid w:val="00200BD8"/>
    <w:rsid w:val="00200FCA"/>
    <w:rsid w:val="00201522"/>
    <w:rsid w:val="0020177E"/>
    <w:rsid w:val="002019AF"/>
    <w:rsid w:val="00202265"/>
    <w:rsid w:val="00202286"/>
    <w:rsid w:val="00202DCE"/>
    <w:rsid w:val="00203012"/>
    <w:rsid w:val="0020371F"/>
    <w:rsid w:val="00203916"/>
    <w:rsid w:val="002039A0"/>
    <w:rsid w:val="002043B1"/>
    <w:rsid w:val="002045E4"/>
    <w:rsid w:val="00205164"/>
    <w:rsid w:val="002057F2"/>
    <w:rsid w:val="00205848"/>
    <w:rsid w:val="002065B1"/>
    <w:rsid w:val="00206CCC"/>
    <w:rsid w:val="00206CD9"/>
    <w:rsid w:val="002105B2"/>
    <w:rsid w:val="002106B2"/>
    <w:rsid w:val="002107A8"/>
    <w:rsid w:val="00210B1E"/>
    <w:rsid w:val="00211B13"/>
    <w:rsid w:val="00212657"/>
    <w:rsid w:val="002130D7"/>
    <w:rsid w:val="00213617"/>
    <w:rsid w:val="002139D6"/>
    <w:rsid w:val="00213FA4"/>
    <w:rsid w:val="002149DB"/>
    <w:rsid w:val="00214F7E"/>
    <w:rsid w:val="00215A18"/>
    <w:rsid w:val="00216780"/>
    <w:rsid w:val="00216C23"/>
    <w:rsid w:val="00217006"/>
    <w:rsid w:val="00217060"/>
    <w:rsid w:val="00217197"/>
    <w:rsid w:val="0021740D"/>
    <w:rsid w:val="00217564"/>
    <w:rsid w:val="00220C5E"/>
    <w:rsid w:val="0022105A"/>
    <w:rsid w:val="00221080"/>
    <w:rsid w:val="0022118D"/>
    <w:rsid w:val="002217C5"/>
    <w:rsid w:val="00221D67"/>
    <w:rsid w:val="0022248B"/>
    <w:rsid w:val="002233BD"/>
    <w:rsid w:val="00223484"/>
    <w:rsid w:val="002235BB"/>
    <w:rsid w:val="002238E3"/>
    <w:rsid w:val="0022542C"/>
    <w:rsid w:val="00225455"/>
    <w:rsid w:val="002256C0"/>
    <w:rsid w:val="00227007"/>
    <w:rsid w:val="00227118"/>
    <w:rsid w:val="00227221"/>
    <w:rsid w:val="00227503"/>
    <w:rsid w:val="0023104F"/>
    <w:rsid w:val="002310DE"/>
    <w:rsid w:val="0023283B"/>
    <w:rsid w:val="002331D0"/>
    <w:rsid w:val="002332F7"/>
    <w:rsid w:val="002338F1"/>
    <w:rsid w:val="00233CF0"/>
    <w:rsid w:val="00234036"/>
    <w:rsid w:val="002340EB"/>
    <w:rsid w:val="0023485B"/>
    <w:rsid w:val="0023490E"/>
    <w:rsid w:val="00234B81"/>
    <w:rsid w:val="00234EB7"/>
    <w:rsid w:val="00235A47"/>
    <w:rsid w:val="002363ED"/>
    <w:rsid w:val="00236969"/>
    <w:rsid w:val="00236B4F"/>
    <w:rsid w:val="00236C19"/>
    <w:rsid w:val="00236C3F"/>
    <w:rsid w:val="00236CC9"/>
    <w:rsid w:val="00237094"/>
    <w:rsid w:val="00237C05"/>
    <w:rsid w:val="00237C88"/>
    <w:rsid w:val="002400B8"/>
    <w:rsid w:val="002401B7"/>
    <w:rsid w:val="0024027A"/>
    <w:rsid w:val="00241573"/>
    <w:rsid w:val="0024183E"/>
    <w:rsid w:val="00241B18"/>
    <w:rsid w:val="00241ED0"/>
    <w:rsid w:val="00242520"/>
    <w:rsid w:val="00242679"/>
    <w:rsid w:val="00242844"/>
    <w:rsid w:val="00242A30"/>
    <w:rsid w:val="00242A95"/>
    <w:rsid w:val="00242BD0"/>
    <w:rsid w:val="0024318C"/>
    <w:rsid w:val="002433C1"/>
    <w:rsid w:val="002436C2"/>
    <w:rsid w:val="00244921"/>
    <w:rsid w:val="00244933"/>
    <w:rsid w:val="00244BCF"/>
    <w:rsid w:val="00245472"/>
    <w:rsid w:val="002454FA"/>
    <w:rsid w:val="00245502"/>
    <w:rsid w:val="00245621"/>
    <w:rsid w:val="00245BD2"/>
    <w:rsid w:val="00245CEA"/>
    <w:rsid w:val="00246297"/>
    <w:rsid w:val="0024724D"/>
    <w:rsid w:val="002474E9"/>
    <w:rsid w:val="00247656"/>
    <w:rsid w:val="00247781"/>
    <w:rsid w:val="00247C03"/>
    <w:rsid w:val="0025018D"/>
    <w:rsid w:val="002507D8"/>
    <w:rsid w:val="00250D29"/>
    <w:rsid w:val="00251503"/>
    <w:rsid w:val="00251D5A"/>
    <w:rsid w:val="00252C8B"/>
    <w:rsid w:val="00252DE9"/>
    <w:rsid w:val="0025316C"/>
    <w:rsid w:val="0025332D"/>
    <w:rsid w:val="002535AF"/>
    <w:rsid w:val="00253950"/>
    <w:rsid w:val="00253B58"/>
    <w:rsid w:val="00253B73"/>
    <w:rsid w:val="00253C24"/>
    <w:rsid w:val="00254274"/>
    <w:rsid w:val="002542B6"/>
    <w:rsid w:val="0025459D"/>
    <w:rsid w:val="0025541A"/>
    <w:rsid w:val="00255CB1"/>
    <w:rsid w:val="00256E1E"/>
    <w:rsid w:val="00257677"/>
    <w:rsid w:val="00257AAF"/>
    <w:rsid w:val="00257BA6"/>
    <w:rsid w:val="002608B1"/>
    <w:rsid w:val="0026126D"/>
    <w:rsid w:val="002612A0"/>
    <w:rsid w:val="00261559"/>
    <w:rsid w:val="00261577"/>
    <w:rsid w:val="00261646"/>
    <w:rsid w:val="00261BE3"/>
    <w:rsid w:val="00263375"/>
    <w:rsid w:val="00263912"/>
    <w:rsid w:val="00263E62"/>
    <w:rsid w:val="00264044"/>
    <w:rsid w:val="00264D8C"/>
    <w:rsid w:val="00264E75"/>
    <w:rsid w:val="00264E84"/>
    <w:rsid w:val="002654ED"/>
    <w:rsid w:val="00265B0C"/>
    <w:rsid w:val="00265F95"/>
    <w:rsid w:val="002667AB"/>
    <w:rsid w:val="002670BA"/>
    <w:rsid w:val="0026730D"/>
    <w:rsid w:val="00267623"/>
    <w:rsid w:val="0026791C"/>
    <w:rsid w:val="00267CCB"/>
    <w:rsid w:val="00270548"/>
    <w:rsid w:val="00270568"/>
    <w:rsid w:val="00270C09"/>
    <w:rsid w:val="00270C87"/>
    <w:rsid w:val="00270CCD"/>
    <w:rsid w:val="0027104E"/>
    <w:rsid w:val="0027187E"/>
    <w:rsid w:val="00271FC1"/>
    <w:rsid w:val="0027213E"/>
    <w:rsid w:val="00272C36"/>
    <w:rsid w:val="00272FFA"/>
    <w:rsid w:val="00274E50"/>
    <w:rsid w:val="00275DE8"/>
    <w:rsid w:val="00275F3D"/>
    <w:rsid w:val="00276B74"/>
    <w:rsid w:val="00276C3C"/>
    <w:rsid w:val="002775B7"/>
    <w:rsid w:val="0027797D"/>
    <w:rsid w:val="0028038A"/>
    <w:rsid w:val="00280DA2"/>
    <w:rsid w:val="00280FC2"/>
    <w:rsid w:val="002812E9"/>
    <w:rsid w:val="00281A92"/>
    <w:rsid w:val="00282298"/>
    <w:rsid w:val="002822C5"/>
    <w:rsid w:val="0028233F"/>
    <w:rsid w:val="00282474"/>
    <w:rsid w:val="0028255F"/>
    <w:rsid w:val="0028265D"/>
    <w:rsid w:val="002828DE"/>
    <w:rsid w:val="00282AC8"/>
    <w:rsid w:val="00282F15"/>
    <w:rsid w:val="002840EE"/>
    <w:rsid w:val="00284101"/>
    <w:rsid w:val="002842AF"/>
    <w:rsid w:val="002844B8"/>
    <w:rsid w:val="00284658"/>
    <w:rsid w:val="00285058"/>
    <w:rsid w:val="00285161"/>
    <w:rsid w:val="00285477"/>
    <w:rsid w:val="00285FAB"/>
    <w:rsid w:val="00286008"/>
    <w:rsid w:val="002861B9"/>
    <w:rsid w:val="00286751"/>
    <w:rsid w:val="00286803"/>
    <w:rsid w:val="00286817"/>
    <w:rsid w:val="0028684B"/>
    <w:rsid w:val="002868C7"/>
    <w:rsid w:val="00286D96"/>
    <w:rsid w:val="00286DB9"/>
    <w:rsid w:val="0028710B"/>
    <w:rsid w:val="00290170"/>
    <w:rsid w:val="0029035D"/>
    <w:rsid w:val="0029080C"/>
    <w:rsid w:val="00290BB4"/>
    <w:rsid w:val="00290EFD"/>
    <w:rsid w:val="002912BF"/>
    <w:rsid w:val="0029158C"/>
    <w:rsid w:val="0029189D"/>
    <w:rsid w:val="002922A2"/>
    <w:rsid w:val="002926E9"/>
    <w:rsid w:val="002928FE"/>
    <w:rsid w:val="002931E5"/>
    <w:rsid w:val="00293736"/>
    <w:rsid w:val="00293E46"/>
    <w:rsid w:val="0029465E"/>
    <w:rsid w:val="00294714"/>
    <w:rsid w:val="0029474A"/>
    <w:rsid w:val="00294974"/>
    <w:rsid w:val="00295D69"/>
    <w:rsid w:val="002961CE"/>
    <w:rsid w:val="00296ED9"/>
    <w:rsid w:val="002978D1"/>
    <w:rsid w:val="00297F8F"/>
    <w:rsid w:val="002A0360"/>
    <w:rsid w:val="002A12B5"/>
    <w:rsid w:val="002A12D4"/>
    <w:rsid w:val="002A142D"/>
    <w:rsid w:val="002A168C"/>
    <w:rsid w:val="002A3C77"/>
    <w:rsid w:val="002A43A3"/>
    <w:rsid w:val="002A4524"/>
    <w:rsid w:val="002A49CD"/>
    <w:rsid w:val="002A55EC"/>
    <w:rsid w:val="002A5F25"/>
    <w:rsid w:val="002A6595"/>
    <w:rsid w:val="002A67A0"/>
    <w:rsid w:val="002A70F0"/>
    <w:rsid w:val="002A7556"/>
    <w:rsid w:val="002A7CB0"/>
    <w:rsid w:val="002A7D87"/>
    <w:rsid w:val="002A7E7F"/>
    <w:rsid w:val="002B053A"/>
    <w:rsid w:val="002B0A81"/>
    <w:rsid w:val="002B16D9"/>
    <w:rsid w:val="002B1C6B"/>
    <w:rsid w:val="002B1D68"/>
    <w:rsid w:val="002B20A0"/>
    <w:rsid w:val="002B33A4"/>
    <w:rsid w:val="002B35A1"/>
    <w:rsid w:val="002B392C"/>
    <w:rsid w:val="002B3AF4"/>
    <w:rsid w:val="002B3D13"/>
    <w:rsid w:val="002B40F2"/>
    <w:rsid w:val="002B4CD5"/>
    <w:rsid w:val="002B5523"/>
    <w:rsid w:val="002B55A7"/>
    <w:rsid w:val="002B5DF7"/>
    <w:rsid w:val="002B6138"/>
    <w:rsid w:val="002B663A"/>
    <w:rsid w:val="002B67F1"/>
    <w:rsid w:val="002B7844"/>
    <w:rsid w:val="002B7B91"/>
    <w:rsid w:val="002B7BAD"/>
    <w:rsid w:val="002B7C83"/>
    <w:rsid w:val="002B7FC9"/>
    <w:rsid w:val="002C0415"/>
    <w:rsid w:val="002C076E"/>
    <w:rsid w:val="002C084D"/>
    <w:rsid w:val="002C08AC"/>
    <w:rsid w:val="002C0B0A"/>
    <w:rsid w:val="002C0CD4"/>
    <w:rsid w:val="002C0DAC"/>
    <w:rsid w:val="002C10AE"/>
    <w:rsid w:val="002C11FE"/>
    <w:rsid w:val="002C1505"/>
    <w:rsid w:val="002C30F7"/>
    <w:rsid w:val="002C3308"/>
    <w:rsid w:val="002C3E6A"/>
    <w:rsid w:val="002C3FA7"/>
    <w:rsid w:val="002C48D4"/>
    <w:rsid w:val="002C4B65"/>
    <w:rsid w:val="002C54AD"/>
    <w:rsid w:val="002C5A86"/>
    <w:rsid w:val="002C5E83"/>
    <w:rsid w:val="002C5FA3"/>
    <w:rsid w:val="002C621C"/>
    <w:rsid w:val="002C6363"/>
    <w:rsid w:val="002C6601"/>
    <w:rsid w:val="002C671A"/>
    <w:rsid w:val="002C67F4"/>
    <w:rsid w:val="002C6B9B"/>
    <w:rsid w:val="002C716C"/>
    <w:rsid w:val="002C7615"/>
    <w:rsid w:val="002D002E"/>
    <w:rsid w:val="002D0156"/>
    <w:rsid w:val="002D0721"/>
    <w:rsid w:val="002D08AC"/>
    <w:rsid w:val="002D09E8"/>
    <w:rsid w:val="002D1DA5"/>
    <w:rsid w:val="002D246C"/>
    <w:rsid w:val="002D257C"/>
    <w:rsid w:val="002D26AB"/>
    <w:rsid w:val="002D2BC8"/>
    <w:rsid w:val="002D2CD1"/>
    <w:rsid w:val="002D36E1"/>
    <w:rsid w:val="002D381B"/>
    <w:rsid w:val="002D46C0"/>
    <w:rsid w:val="002D4DAB"/>
    <w:rsid w:val="002D5743"/>
    <w:rsid w:val="002D5AFB"/>
    <w:rsid w:val="002D5BC1"/>
    <w:rsid w:val="002D5D0E"/>
    <w:rsid w:val="002D6817"/>
    <w:rsid w:val="002D6A2C"/>
    <w:rsid w:val="002D6E07"/>
    <w:rsid w:val="002D6E52"/>
    <w:rsid w:val="002D79FD"/>
    <w:rsid w:val="002D7C4B"/>
    <w:rsid w:val="002D7F8D"/>
    <w:rsid w:val="002E0000"/>
    <w:rsid w:val="002E068D"/>
    <w:rsid w:val="002E092B"/>
    <w:rsid w:val="002E0AD4"/>
    <w:rsid w:val="002E0E12"/>
    <w:rsid w:val="002E15D9"/>
    <w:rsid w:val="002E18A8"/>
    <w:rsid w:val="002E23BA"/>
    <w:rsid w:val="002E2924"/>
    <w:rsid w:val="002E3FC5"/>
    <w:rsid w:val="002E40AE"/>
    <w:rsid w:val="002E4566"/>
    <w:rsid w:val="002E466F"/>
    <w:rsid w:val="002E4775"/>
    <w:rsid w:val="002E59F9"/>
    <w:rsid w:val="002E5F5C"/>
    <w:rsid w:val="002E6A74"/>
    <w:rsid w:val="002E75AC"/>
    <w:rsid w:val="002F142E"/>
    <w:rsid w:val="002F17B2"/>
    <w:rsid w:val="002F1B2B"/>
    <w:rsid w:val="002F1EF6"/>
    <w:rsid w:val="002F2059"/>
    <w:rsid w:val="002F2106"/>
    <w:rsid w:val="002F26C6"/>
    <w:rsid w:val="002F29E0"/>
    <w:rsid w:val="002F3443"/>
    <w:rsid w:val="002F3A6A"/>
    <w:rsid w:val="002F4570"/>
    <w:rsid w:val="002F49EC"/>
    <w:rsid w:val="002F4FE6"/>
    <w:rsid w:val="002F56CE"/>
    <w:rsid w:val="002F6042"/>
    <w:rsid w:val="002F6A13"/>
    <w:rsid w:val="002F7649"/>
    <w:rsid w:val="0030025C"/>
    <w:rsid w:val="00300B00"/>
    <w:rsid w:val="00300C20"/>
    <w:rsid w:val="00300D38"/>
    <w:rsid w:val="0030159A"/>
    <w:rsid w:val="003017C1"/>
    <w:rsid w:val="003021BB"/>
    <w:rsid w:val="003029FE"/>
    <w:rsid w:val="0030389B"/>
    <w:rsid w:val="0030497C"/>
    <w:rsid w:val="00304A62"/>
    <w:rsid w:val="00304AE0"/>
    <w:rsid w:val="00304D76"/>
    <w:rsid w:val="003057C9"/>
    <w:rsid w:val="003057D5"/>
    <w:rsid w:val="00305BFB"/>
    <w:rsid w:val="003065E8"/>
    <w:rsid w:val="0030750D"/>
    <w:rsid w:val="00307518"/>
    <w:rsid w:val="003078FD"/>
    <w:rsid w:val="003079B6"/>
    <w:rsid w:val="0031050C"/>
    <w:rsid w:val="003105B5"/>
    <w:rsid w:val="00310979"/>
    <w:rsid w:val="00310A98"/>
    <w:rsid w:val="00310DE2"/>
    <w:rsid w:val="003118F0"/>
    <w:rsid w:val="00311A8A"/>
    <w:rsid w:val="0031232E"/>
    <w:rsid w:val="00312A98"/>
    <w:rsid w:val="00313459"/>
    <w:rsid w:val="00313AA7"/>
    <w:rsid w:val="00314236"/>
    <w:rsid w:val="00314430"/>
    <w:rsid w:val="003146AF"/>
    <w:rsid w:val="00314E8F"/>
    <w:rsid w:val="00314EAC"/>
    <w:rsid w:val="00315097"/>
    <w:rsid w:val="00315247"/>
    <w:rsid w:val="003153E5"/>
    <w:rsid w:val="00316045"/>
    <w:rsid w:val="0031757C"/>
    <w:rsid w:val="003176A2"/>
    <w:rsid w:val="00317722"/>
    <w:rsid w:val="00317E4A"/>
    <w:rsid w:val="00320233"/>
    <w:rsid w:val="003208B5"/>
    <w:rsid w:val="003208E4"/>
    <w:rsid w:val="00320B66"/>
    <w:rsid w:val="0032157B"/>
    <w:rsid w:val="003219CF"/>
    <w:rsid w:val="00322066"/>
    <w:rsid w:val="00322C79"/>
    <w:rsid w:val="00323176"/>
    <w:rsid w:val="00323649"/>
    <w:rsid w:val="00323B50"/>
    <w:rsid w:val="00323C6B"/>
    <w:rsid w:val="003242FE"/>
    <w:rsid w:val="00324303"/>
    <w:rsid w:val="00324459"/>
    <w:rsid w:val="0032466F"/>
    <w:rsid w:val="00324DCE"/>
    <w:rsid w:val="00324E9E"/>
    <w:rsid w:val="00324EAE"/>
    <w:rsid w:val="00325083"/>
    <w:rsid w:val="003257F6"/>
    <w:rsid w:val="00326BB3"/>
    <w:rsid w:val="00326EA7"/>
    <w:rsid w:val="003272FE"/>
    <w:rsid w:val="00327360"/>
    <w:rsid w:val="003273DF"/>
    <w:rsid w:val="00327F2C"/>
    <w:rsid w:val="003303F6"/>
    <w:rsid w:val="00330489"/>
    <w:rsid w:val="003305B4"/>
    <w:rsid w:val="00330BC1"/>
    <w:rsid w:val="00330CDA"/>
    <w:rsid w:val="00330E0D"/>
    <w:rsid w:val="003312FB"/>
    <w:rsid w:val="00331566"/>
    <w:rsid w:val="003318AD"/>
    <w:rsid w:val="00331DDF"/>
    <w:rsid w:val="00331E32"/>
    <w:rsid w:val="00332816"/>
    <w:rsid w:val="00333222"/>
    <w:rsid w:val="0033329D"/>
    <w:rsid w:val="00333448"/>
    <w:rsid w:val="0033349B"/>
    <w:rsid w:val="003337E5"/>
    <w:rsid w:val="00333831"/>
    <w:rsid w:val="00333DB1"/>
    <w:rsid w:val="0033410B"/>
    <w:rsid w:val="00334695"/>
    <w:rsid w:val="00334BE5"/>
    <w:rsid w:val="003358CF"/>
    <w:rsid w:val="003361F7"/>
    <w:rsid w:val="003364D7"/>
    <w:rsid w:val="00336746"/>
    <w:rsid w:val="00337297"/>
    <w:rsid w:val="00337BBC"/>
    <w:rsid w:val="00337F5C"/>
    <w:rsid w:val="003400F0"/>
    <w:rsid w:val="0034075C"/>
    <w:rsid w:val="003407E1"/>
    <w:rsid w:val="003408F5"/>
    <w:rsid w:val="0034215E"/>
    <w:rsid w:val="003421B4"/>
    <w:rsid w:val="00342364"/>
    <w:rsid w:val="0034238E"/>
    <w:rsid w:val="00342C2A"/>
    <w:rsid w:val="00342FA7"/>
    <w:rsid w:val="00343537"/>
    <w:rsid w:val="00343C86"/>
    <w:rsid w:val="003444FB"/>
    <w:rsid w:val="00344B45"/>
    <w:rsid w:val="00344C0B"/>
    <w:rsid w:val="0034504E"/>
    <w:rsid w:val="0034538E"/>
    <w:rsid w:val="00345BF4"/>
    <w:rsid w:val="00345C3D"/>
    <w:rsid w:val="00346061"/>
    <w:rsid w:val="00346793"/>
    <w:rsid w:val="00346A8E"/>
    <w:rsid w:val="00347031"/>
    <w:rsid w:val="003476E1"/>
    <w:rsid w:val="003505DE"/>
    <w:rsid w:val="00350882"/>
    <w:rsid w:val="00350E4A"/>
    <w:rsid w:val="00351701"/>
    <w:rsid w:val="00351D62"/>
    <w:rsid w:val="00351DBD"/>
    <w:rsid w:val="00352DF1"/>
    <w:rsid w:val="00352FDF"/>
    <w:rsid w:val="0035351C"/>
    <w:rsid w:val="003537E8"/>
    <w:rsid w:val="0035441B"/>
    <w:rsid w:val="00354444"/>
    <w:rsid w:val="00354A3D"/>
    <w:rsid w:val="00354FBC"/>
    <w:rsid w:val="003560AB"/>
    <w:rsid w:val="00356142"/>
    <w:rsid w:val="003562B4"/>
    <w:rsid w:val="003562EB"/>
    <w:rsid w:val="00357011"/>
    <w:rsid w:val="003575E6"/>
    <w:rsid w:val="0035779D"/>
    <w:rsid w:val="00357C94"/>
    <w:rsid w:val="00360147"/>
    <w:rsid w:val="00360672"/>
    <w:rsid w:val="003609A2"/>
    <w:rsid w:val="0036145D"/>
    <w:rsid w:val="00361465"/>
    <w:rsid w:val="00361C04"/>
    <w:rsid w:val="00362392"/>
    <w:rsid w:val="003634F3"/>
    <w:rsid w:val="0036367C"/>
    <w:rsid w:val="00363B1D"/>
    <w:rsid w:val="00363B23"/>
    <w:rsid w:val="00363F11"/>
    <w:rsid w:val="003641C6"/>
    <w:rsid w:val="00364FBC"/>
    <w:rsid w:val="003651B3"/>
    <w:rsid w:val="003653AC"/>
    <w:rsid w:val="003654A5"/>
    <w:rsid w:val="00365873"/>
    <w:rsid w:val="0036654B"/>
    <w:rsid w:val="003665C2"/>
    <w:rsid w:val="003668C7"/>
    <w:rsid w:val="00367393"/>
    <w:rsid w:val="00367C9C"/>
    <w:rsid w:val="00370266"/>
    <w:rsid w:val="003702BF"/>
    <w:rsid w:val="00370FB7"/>
    <w:rsid w:val="00371053"/>
    <w:rsid w:val="00371141"/>
    <w:rsid w:val="003712B8"/>
    <w:rsid w:val="00371521"/>
    <w:rsid w:val="003726A7"/>
    <w:rsid w:val="00372F93"/>
    <w:rsid w:val="003744C8"/>
    <w:rsid w:val="003747DA"/>
    <w:rsid w:val="003749D5"/>
    <w:rsid w:val="00374BC3"/>
    <w:rsid w:val="0037538B"/>
    <w:rsid w:val="0037556E"/>
    <w:rsid w:val="0037569C"/>
    <w:rsid w:val="003761E1"/>
    <w:rsid w:val="003774D8"/>
    <w:rsid w:val="00377BE2"/>
    <w:rsid w:val="00377CFA"/>
    <w:rsid w:val="003805E4"/>
    <w:rsid w:val="003808D0"/>
    <w:rsid w:val="00380AA0"/>
    <w:rsid w:val="00380B4E"/>
    <w:rsid w:val="00380ED7"/>
    <w:rsid w:val="00381418"/>
    <w:rsid w:val="00381466"/>
    <w:rsid w:val="003820EF"/>
    <w:rsid w:val="0038240C"/>
    <w:rsid w:val="00382468"/>
    <w:rsid w:val="003825C0"/>
    <w:rsid w:val="00382A5C"/>
    <w:rsid w:val="00382B7C"/>
    <w:rsid w:val="00383038"/>
    <w:rsid w:val="00383663"/>
    <w:rsid w:val="0038485A"/>
    <w:rsid w:val="003848A2"/>
    <w:rsid w:val="00384E2C"/>
    <w:rsid w:val="0038555F"/>
    <w:rsid w:val="00386762"/>
    <w:rsid w:val="00386A18"/>
    <w:rsid w:val="00386CDF"/>
    <w:rsid w:val="00387F01"/>
    <w:rsid w:val="0039005E"/>
    <w:rsid w:val="0039025C"/>
    <w:rsid w:val="003905F8"/>
    <w:rsid w:val="00390892"/>
    <w:rsid w:val="00390A3F"/>
    <w:rsid w:val="00391110"/>
    <w:rsid w:val="00391335"/>
    <w:rsid w:val="00391504"/>
    <w:rsid w:val="0039184F"/>
    <w:rsid w:val="00392917"/>
    <w:rsid w:val="00392AFB"/>
    <w:rsid w:val="00392CF7"/>
    <w:rsid w:val="00393E1E"/>
    <w:rsid w:val="00394D79"/>
    <w:rsid w:val="00394DF0"/>
    <w:rsid w:val="0039512F"/>
    <w:rsid w:val="003958CD"/>
    <w:rsid w:val="00395A5E"/>
    <w:rsid w:val="00395BD7"/>
    <w:rsid w:val="0039670A"/>
    <w:rsid w:val="00396807"/>
    <w:rsid w:val="0039699A"/>
    <w:rsid w:val="003970C1"/>
    <w:rsid w:val="003971F4"/>
    <w:rsid w:val="003974A1"/>
    <w:rsid w:val="0039780F"/>
    <w:rsid w:val="003A03C8"/>
    <w:rsid w:val="003A080B"/>
    <w:rsid w:val="003A18BC"/>
    <w:rsid w:val="003A1BA6"/>
    <w:rsid w:val="003A1E58"/>
    <w:rsid w:val="003A20AA"/>
    <w:rsid w:val="003A2247"/>
    <w:rsid w:val="003A225A"/>
    <w:rsid w:val="003A2D71"/>
    <w:rsid w:val="003A3ACC"/>
    <w:rsid w:val="003A44D9"/>
    <w:rsid w:val="003A45EF"/>
    <w:rsid w:val="003A484E"/>
    <w:rsid w:val="003A48A0"/>
    <w:rsid w:val="003A4ED4"/>
    <w:rsid w:val="003A5100"/>
    <w:rsid w:val="003A5A40"/>
    <w:rsid w:val="003A6CB9"/>
    <w:rsid w:val="003A6E21"/>
    <w:rsid w:val="003A6E24"/>
    <w:rsid w:val="003A704C"/>
    <w:rsid w:val="003A7573"/>
    <w:rsid w:val="003A77CE"/>
    <w:rsid w:val="003A7D0B"/>
    <w:rsid w:val="003B00A5"/>
    <w:rsid w:val="003B0164"/>
    <w:rsid w:val="003B031C"/>
    <w:rsid w:val="003B0376"/>
    <w:rsid w:val="003B04DA"/>
    <w:rsid w:val="003B0640"/>
    <w:rsid w:val="003B0E45"/>
    <w:rsid w:val="003B1BF4"/>
    <w:rsid w:val="003B1CAE"/>
    <w:rsid w:val="003B1D75"/>
    <w:rsid w:val="003B1D88"/>
    <w:rsid w:val="003B2016"/>
    <w:rsid w:val="003B224A"/>
    <w:rsid w:val="003B2502"/>
    <w:rsid w:val="003B2589"/>
    <w:rsid w:val="003B2EED"/>
    <w:rsid w:val="003B3A46"/>
    <w:rsid w:val="003B3AB7"/>
    <w:rsid w:val="003B48A1"/>
    <w:rsid w:val="003B4AA2"/>
    <w:rsid w:val="003B4C37"/>
    <w:rsid w:val="003B53E5"/>
    <w:rsid w:val="003B5B98"/>
    <w:rsid w:val="003B5D26"/>
    <w:rsid w:val="003B65D1"/>
    <w:rsid w:val="003B7414"/>
    <w:rsid w:val="003C03FF"/>
    <w:rsid w:val="003C06E3"/>
    <w:rsid w:val="003C0EC0"/>
    <w:rsid w:val="003C124D"/>
    <w:rsid w:val="003C12AF"/>
    <w:rsid w:val="003C2381"/>
    <w:rsid w:val="003C239C"/>
    <w:rsid w:val="003C26F9"/>
    <w:rsid w:val="003C2980"/>
    <w:rsid w:val="003C2FA8"/>
    <w:rsid w:val="003C36C4"/>
    <w:rsid w:val="003C3EE4"/>
    <w:rsid w:val="003C4AB2"/>
    <w:rsid w:val="003C4E63"/>
    <w:rsid w:val="003C4F46"/>
    <w:rsid w:val="003C562F"/>
    <w:rsid w:val="003C590C"/>
    <w:rsid w:val="003C6737"/>
    <w:rsid w:val="003C6832"/>
    <w:rsid w:val="003C7A9C"/>
    <w:rsid w:val="003C7E18"/>
    <w:rsid w:val="003C7E75"/>
    <w:rsid w:val="003D0579"/>
    <w:rsid w:val="003D11F7"/>
    <w:rsid w:val="003D1F7C"/>
    <w:rsid w:val="003D2B45"/>
    <w:rsid w:val="003D31CE"/>
    <w:rsid w:val="003D3271"/>
    <w:rsid w:val="003D328A"/>
    <w:rsid w:val="003D32A5"/>
    <w:rsid w:val="003D32B0"/>
    <w:rsid w:val="003D40C9"/>
    <w:rsid w:val="003D49C7"/>
    <w:rsid w:val="003D4CFA"/>
    <w:rsid w:val="003D4F44"/>
    <w:rsid w:val="003D51B3"/>
    <w:rsid w:val="003D56FE"/>
    <w:rsid w:val="003D5972"/>
    <w:rsid w:val="003D5E53"/>
    <w:rsid w:val="003D61FC"/>
    <w:rsid w:val="003D66DC"/>
    <w:rsid w:val="003D6F72"/>
    <w:rsid w:val="003D717D"/>
    <w:rsid w:val="003D7201"/>
    <w:rsid w:val="003D754E"/>
    <w:rsid w:val="003D75C4"/>
    <w:rsid w:val="003D790E"/>
    <w:rsid w:val="003E030F"/>
    <w:rsid w:val="003E076E"/>
    <w:rsid w:val="003E0E1E"/>
    <w:rsid w:val="003E1276"/>
    <w:rsid w:val="003E140F"/>
    <w:rsid w:val="003E14C4"/>
    <w:rsid w:val="003E1E89"/>
    <w:rsid w:val="003E2010"/>
    <w:rsid w:val="003E23B1"/>
    <w:rsid w:val="003E24CA"/>
    <w:rsid w:val="003E2592"/>
    <w:rsid w:val="003E2AD7"/>
    <w:rsid w:val="003E2B3B"/>
    <w:rsid w:val="003E2BA4"/>
    <w:rsid w:val="003E2CB8"/>
    <w:rsid w:val="003E31ED"/>
    <w:rsid w:val="003E3232"/>
    <w:rsid w:val="003E3D67"/>
    <w:rsid w:val="003E434A"/>
    <w:rsid w:val="003E4934"/>
    <w:rsid w:val="003E512D"/>
    <w:rsid w:val="003E51AE"/>
    <w:rsid w:val="003E553C"/>
    <w:rsid w:val="003E5A45"/>
    <w:rsid w:val="003E6A52"/>
    <w:rsid w:val="003E6EF1"/>
    <w:rsid w:val="003E6F02"/>
    <w:rsid w:val="003E758F"/>
    <w:rsid w:val="003E7984"/>
    <w:rsid w:val="003F0360"/>
    <w:rsid w:val="003F0451"/>
    <w:rsid w:val="003F0911"/>
    <w:rsid w:val="003F1695"/>
    <w:rsid w:val="003F247A"/>
    <w:rsid w:val="003F2545"/>
    <w:rsid w:val="003F2703"/>
    <w:rsid w:val="003F28EA"/>
    <w:rsid w:val="003F2CAE"/>
    <w:rsid w:val="003F3270"/>
    <w:rsid w:val="003F42EC"/>
    <w:rsid w:val="003F4FC3"/>
    <w:rsid w:val="003F545C"/>
    <w:rsid w:val="003F5D09"/>
    <w:rsid w:val="003F5DC3"/>
    <w:rsid w:val="003F6BA0"/>
    <w:rsid w:val="003F70D1"/>
    <w:rsid w:val="003F734C"/>
    <w:rsid w:val="003F7A01"/>
    <w:rsid w:val="00401F09"/>
    <w:rsid w:val="00402142"/>
    <w:rsid w:val="004021BC"/>
    <w:rsid w:val="004024A2"/>
    <w:rsid w:val="0040313D"/>
    <w:rsid w:val="004038F0"/>
    <w:rsid w:val="00403C68"/>
    <w:rsid w:val="004040DF"/>
    <w:rsid w:val="00404218"/>
    <w:rsid w:val="0040454A"/>
    <w:rsid w:val="00404E2C"/>
    <w:rsid w:val="00404F39"/>
    <w:rsid w:val="0040525C"/>
    <w:rsid w:val="0040589F"/>
    <w:rsid w:val="00405A97"/>
    <w:rsid w:val="00405C61"/>
    <w:rsid w:val="00405FFC"/>
    <w:rsid w:val="00406810"/>
    <w:rsid w:val="00406C1A"/>
    <w:rsid w:val="00406EC6"/>
    <w:rsid w:val="00407C08"/>
    <w:rsid w:val="004105E0"/>
    <w:rsid w:val="00410A01"/>
    <w:rsid w:val="0041105D"/>
    <w:rsid w:val="00411695"/>
    <w:rsid w:val="0041195B"/>
    <w:rsid w:val="004119D1"/>
    <w:rsid w:val="00411A89"/>
    <w:rsid w:val="0041203F"/>
    <w:rsid w:val="00412240"/>
    <w:rsid w:val="0041244F"/>
    <w:rsid w:val="0041291F"/>
    <w:rsid w:val="00412B72"/>
    <w:rsid w:val="00412FB2"/>
    <w:rsid w:val="0041374B"/>
    <w:rsid w:val="00413BEC"/>
    <w:rsid w:val="00413D3C"/>
    <w:rsid w:val="00413D77"/>
    <w:rsid w:val="0041411E"/>
    <w:rsid w:val="0041418A"/>
    <w:rsid w:val="00414B2A"/>
    <w:rsid w:val="00414EF7"/>
    <w:rsid w:val="00414FC7"/>
    <w:rsid w:val="004158F8"/>
    <w:rsid w:val="00415BE2"/>
    <w:rsid w:val="00416199"/>
    <w:rsid w:val="00416490"/>
    <w:rsid w:val="00417019"/>
    <w:rsid w:val="004173AD"/>
    <w:rsid w:val="00417EDF"/>
    <w:rsid w:val="0042027F"/>
    <w:rsid w:val="004206FD"/>
    <w:rsid w:val="00421249"/>
    <w:rsid w:val="004222EE"/>
    <w:rsid w:val="004224D9"/>
    <w:rsid w:val="0042287A"/>
    <w:rsid w:val="00422906"/>
    <w:rsid w:val="00423BB5"/>
    <w:rsid w:val="004242E1"/>
    <w:rsid w:val="00424402"/>
    <w:rsid w:val="004252F3"/>
    <w:rsid w:val="00425F84"/>
    <w:rsid w:val="004263B9"/>
    <w:rsid w:val="0042675C"/>
    <w:rsid w:val="00426785"/>
    <w:rsid w:val="0042687D"/>
    <w:rsid w:val="00426B2A"/>
    <w:rsid w:val="004274C2"/>
    <w:rsid w:val="00430164"/>
    <w:rsid w:val="00430C26"/>
    <w:rsid w:val="00430DD8"/>
    <w:rsid w:val="00430FCA"/>
    <w:rsid w:val="00431213"/>
    <w:rsid w:val="00431349"/>
    <w:rsid w:val="004314E7"/>
    <w:rsid w:val="00432321"/>
    <w:rsid w:val="0043274B"/>
    <w:rsid w:val="004329F8"/>
    <w:rsid w:val="00434923"/>
    <w:rsid w:val="00434B07"/>
    <w:rsid w:val="00435B09"/>
    <w:rsid w:val="00436077"/>
    <w:rsid w:val="00436095"/>
    <w:rsid w:val="00436623"/>
    <w:rsid w:val="00436856"/>
    <w:rsid w:val="0043710C"/>
    <w:rsid w:val="0043734F"/>
    <w:rsid w:val="004374C1"/>
    <w:rsid w:val="00437800"/>
    <w:rsid w:val="004379D0"/>
    <w:rsid w:val="0044049C"/>
    <w:rsid w:val="004404F1"/>
    <w:rsid w:val="00440916"/>
    <w:rsid w:val="00440D24"/>
    <w:rsid w:val="004411EE"/>
    <w:rsid w:val="00441B79"/>
    <w:rsid w:val="00442E19"/>
    <w:rsid w:val="00442EF3"/>
    <w:rsid w:val="00443023"/>
    <w:rsid w:val="00443413"/>
    <w:rsid w:val="004436F1"/>
    <w:rsid w:val="00443912"/>
    <w:rsid w:val="004443A8"/>
    <w:rsid w:val="00444818"/>
    <w:rsid w:val="004449BD"/>
    <w:rsid w:val="004449FD"/>
    <w:rsid w:val="00444CBA"/>
    <w:rsid w:val="004451C5"/>
    <w:rsid w:val="00445BD1"/>
    <w:rsid w:val="00445C59"/>
    <w:rsid w:val="00446460"/>
    <w:rsid w:val="0044687B"/>
    <w:rsid w:val="00446B11"/>
    <w:rsid w:val="00446B99"/>
    <w:rsid w:val="00446BE9"/>
    <w:rsid w:val="004477F1"/>
    <w:rsid w:val="00447E7A"/>
    <w:rsid w:val="00447F5C"/>
    <w:rsid w:val="00450571"/>
    <w:rsid w:val="00450C43"/>
    <w:rsid w:val="00450DB2"/>
    <w:rsid w:val="00451071"/>
    <w:rsid w:val="00451A71"/>
    <w:rsid w:val="00451E02"/>
    <w:rsid w:val="00451E3A"/>
    <w:rsid w:val="00452069"/>
    <w:rsid w:val="0045218B"/>
    <w:rsid w:val="0045311B"/>
    <w:rsid w:val="004533DC"/>
    <w:rsid w:val="004540ED"/>
    <w:rsid w:val="0045415F"/>
    <w:rsid w:val="0045435A"/>
    <w:rsid w:val="004545A9"/>
    <w:rsid w:val="004546EC"/>
    <w:rsid w:val="00455127"/>
    <w:rsid w:val="00455568"/>
    <w:rsid w:val="00455850"/>
    <w:rsid w:val="00455FFB"/>
    <w:rsid w:val="00456027"/>
    <w:rsid w:val="00456152"/>
    <w:rsid w:val="004568E7"/>
    <w:rsid w:val="00456ACD"/>
    <w:rsid w:val="00456B5B"/>
    <w:rsid w:val="00456D39"/>
    <w:rsid w:val="00457026"/>
    <w:rsid w:val="00457C58"/>
    <w:rsid w:val="00457F21"/>
    <w:rsid w:val="0046006E"/>
    <w:rsid w:val="00460683"/>
    <w:rsid w:val="00460CC6"/>
    <w:rsid w:val="004613A6"/>
    <w:rsid w:val="0046321D"/>
    <w:rsid w:val="00463246"/>
    <w:rsid w:val="00463AE7"/>
    <w:rsid w:val="00463C18"/>
    <w:rsid w:val="00464551"/>
    <w:rsid w:val="0046455A"/>
    <w:rsid w:val="004650F8"/>
    <w:rsid w:val="00465318"/>
    <w:rsid w:val="004658DB"/>
    <w:rsid w:val="00465EB0"/>
    <w:rsid w:val="00466424"/>
    <w:rsid w:val="0046650A"/>
    <w:rsid w:val="00466589"/>
    <w:rsid w:val="00466678"/>
    <w:rsid w:val="0046670E"/>
    <w:rsid w:val="00466C55"/>
    <w:rsid w:val="00466D57"/>
    <w:rsid w:val="00467451"/>
    <w:rsid w:val="004676F1"/>
    <w:rsid w:val="0046776B"/>
    <w:rsid w:val="00467C1E"/>
    <w:rsid w:val="00467DDB"/>
    <w:rsid w:val="0047023B"/>
    <w:rsid w:val="00470844"/>
    <w:rsid w:val="00470992"/>
    <w:rsid w:val="00471171"/>
    <w:rsid w:val="00471834"/>
    <w:rsid w:val="0047216D"/>
    <w:rsid w:val="00472365"/>
    <w:rsid w:val="00472730"/>
    <w:rsid w:val="00472F71"/>
    <w:rsid w:val="0047303E"/>
    <w:rsid w:val="00473B0C"/>
    <w:rsid w:val="00473D25"/>
    <w:rsid w:val="00473F73"/>
    <w:rsid w:val="004743D9"/>
    <w:rsid w:val="0047457F"/>
    <w:rsid w:val="00474ABF"/>
    <w:rsid w:val="00474D08"/>
    <w:rsid w:val="0047520B"/>
    <w:rsid w:val="00475399"/>
    <w:rsid w:val="00475C57"/>
    <w:rsid w:val="00475EDF"/>
    <w:rsid w:val="004769A9"/>
    <w:rsid w:val="00476AB1"/>
    <w:rsid w:val="0047721C"/>
    <w:rsid w:val="00477563"/>
    <w:rsid w:val="00477688"/>
    <w:rsid w:val="00477AE3"/>
    <w:rsid w:val="00480EC9"/>
    <w:rsid w:val="0048195B"/>
    <w:rsid w:val="00481BDC"/>
    <w:rsid w:val="00481F31"/>
    <w:rsid w:val="00482C04"/>
    <w:rsid w:val="004838A5"/>
    <w:rsid w:val="00483FCF"/>
    <w:rsid w:val="004846FE"/>
    <w:rsid w:val="0048597C"/>
    <w:rsid w:val="0048633F"/>
    <w:rsid w:val="004866E8"/>
    <w:rsid w:val="00487B9A"/>
    <w:rsid w:val="00487C05"/>
    <w:rsid w:val="00490152"/>
    <w:rsid w:val="004904E3"/>
    <w:rsid w:val="004909DC"/>
    <w:rsid w:val="00490B48"/>
    <w:rsid w:val="00490DA1"/>
    <w:rsid w:val="00490EDD"/>
    <w:rsid w:val="00491F25"/>
    <w:rsid w:val="004926CA"/>
    <w:rsid w:val="0049304D"/>
    <w:rsid w:val="00493F55"/>
    <w:rsid w:val="004941C8"/>
    <w:rsid w:val="00494458"/>
    <w:rsid w:val="00494722"/>
    <w:rsid w:val="00494F6A"/>
    <w:rsid w:val="00495025"/>
    <w:rsid w:val="00496086"/>
    <w:rsid w:val="00496460"/>
    <w:rsid w:val="00496625"/>
    <w:rsid w:val="004968F6"/>
    <w:rsid w:val="00496D4F"/>
    <w:rsid w:val="00497486"/>
    <w:rsid w:val="00497564"/>
    <w:rsid w:val="0049767A"/>
    <w:rsid w:val="00497779"/>
    <w:rsid w:val="004A0027"/>
    <w:rsid w:val="004A0147"/>
    <w:rsid w:val="004A05D2"/>
    <w:rsid w:val="004A115A"/>
    <w:rsid w:val="004A24D1"/>
    <w:rsid w:val="004A2571"/>
    <w:rsid w:val="004A2576"/>
    <w:rsid w:val="004A267A"/>
    <w:rsid w:val="004A2C60"/>
    <w:rsid w:val="004A352A"/>
    <w:rsid w:val="004A3A51"/>
    <w:rsid w:val="004A3B77"/>
    <w:rsid w:val="004A45FD"/>
    <w:rsid w:val="004A4E15"/>
    <w:rsid w:val="004A5F40"/>
    <w:rsid w:val="004A62B7"/>
    <w:rsid w:val="004A65AF"/>
    <w:rsid w:val="004A7206"/>
    <w:rsid w:val="004B004D"/>
    <w:rsid w:val="004B12C1"/>
    <w:rsid w:val="004B247C"/>
    <w:rsid w:val="004B2492"/>
    <w:rsid w:val="004B2636"/>
    <w:rsid w:val="004B2D59"/>
    <w:rsid w:val="004B3D38"/>
    <w:rsid w:val="004B3ED1"/>
    <w:rsid w:val="004B4B4B"/>
    <w:rsid w:val="004B4EB6"/>
    <w:rsid w:val="004B4F4F"/>
    <w:rsid w:val="004B51FA"/>
    <w:rsid w:val="004B591A"/>
    <w:rsid w:val="004B59B8"/>
    <w:rsid w:val="004B5B49"/>
    <w:rsid w:val="004B63F0"/>
    <w:rsid w:val="004B6654"/>
    <w:rsid w:val="004B66CC"/>
    <w:rsid w:val="004B68D6"/>
    <w:rsid w:val="004B6A6A"/>
    <w:rsid w:val="004B6D19"/>
    <w:rsid w:val="004B7770"/>
    <w:rsid w:val="004B7C85"/>
    <w:rsid w:val="004B7F75"/>
    <w:rsid w:val="004C09CD"/>
    <w:rsid w:val="004C0A50"/>
    <w:rsid w:val="004C0C92"/>
    <w:rsid w:val="004C0CA8"/>
    <w:rsid w:val="004C17B6"/>
    <w:rsid w:val="004C19E0"/>
    <w:rsid w:val="004C1A6B"/>
    <w:rsid w:val="004C3019"/>
    <w:rsid w:val="004C30F6"/>
    <w:rsid w:val="004C3F70"/>
    <w:rsid w:val="004C468B"/>
    <w:rsid w:val="004C4990"/>
    <w:rsid w:val="004C4D58"/>
    <w:rsid w:val="004C4F7D"/>
    <w:rsid w:val="004C5809"/>
    <w:rsid w:val="004C5CE7"/>
    <w:rsid w:val="004C5D60"/>
    <w:rsid w:val="004C5FF7"/>
    <w:rsid w:val="004C60AC"/>
    <w:rsid w:val="004C60E8"/>
    <w:rsid w:val="004C6613"/>
    <w:rsid w:val="004C6D59"/>
    <w:rsid w:val="004C6F03"/>
    <w:rsid w:val="004C7272"/>
    <w:rsid w:val="004C7DD9"/>
    <w:rsid w:val="004C7FDC"/>
    <w:rsid w:val="004D0532"/>
    <w:rsid w:val="004D091B"/>
    <w:rsid w:val="004D0EA1"/>
    <w:rsid w:val="004D0EC5"/>
    <w:rsid w:val="004D0FAB"/>
    <w:rsid w:val="004D1763"/>
    <w:rsid w:val="004D23CD"/>
    <w:rsid w:val="004D2529"/>
    <w:rsid w:val="004D2BEC"/>
    <w:rsid w:val="004D357F"/>
    <w:rsid w:val="004D3865"/>
    <w:rsid w:val="004D46BE"/>
    <w:rsid w:val="004D52BE"/>
    <w:rsid w:val="004D590A"/>
    <w:rsid w:val="004D636C"/>
    <w:rsid w:val="004D668E"/>
    <w:rsid w:val="004D7263"/>
    <w:rsid w:val="004D75F3"/>
    <w:rsid w:val="004D7B54"/>
    <w:rsid w:val="004D7C41"/>
    <w:rsid w:val="004E0251"/>
    <w:rsid w:val="004E06E8"/>
    <w:rsid w:val="004E1832"/>
    <w:rsid w:val="004E1FA3"/>
    <w:rsid w:val="004E1FCE"/>
    <w:rsid w:val="004E2056"/>
    <w:rsid w:val="004E2143"/>
    <w:rsid w:val="004E275F"/>
    <w:rsid w:val="004E325E"/>
    <w:rsid w:val="004E3BDA"/>
    <w:rsid w:val="004E4616"/>
    <w:rsid w:val="004E4BB2"/>
    <w:rsid w:val="004E591B"/>
    <w:rsid w:val="004E5B91"/>
    <w:rsid w:val="004E5C8D"/>
    <w:rsid w:val="004E6345"/>
    <w:rsid w:val="004E64F8"/>
    <w:rsid w:val="004E715F"/>
    <w:rsid w:val="004E7228"/>
    <w:rsid w:val="004E7446"/>
    <w:rsid w:val="004E7B78"/>
    <w:rsid w:val="004F0117"/>
    <w:rsid w:val="004F07CD"/>
    <w:rsid w:val="004F0ADE"/>
    <w:rsid w:val="004F12F2"/>
    <w:rsid w:val="004F1F05"/>
    <w:rsid w:val="004F3BCF"/>
    <w:rsid w:val="004F41BC"/>
    <w:rsid w:val="004F4663"/>
    <w:rsid w:val="004F4A0D"/>
    <w:rsid w:val="004F4AED"/>
    <w:rsid w:val="004F4D33"/>
    <w:rsid w:val="004F4EA5"/>
    <w:rsid w:val="004F52A4"/>
    <w:rsid w:val="004F539C"/>
    <w:rsid w:val="004F562F"/>
    <w:rsid w:val="004F63FF"/>
    <w:rsid w:val="004F6438"/>
    <w:rsid w:val="004F6708"/>
    <w:rsid w:val="004F6AF3"/>
    <w:rsid w:val="004F6EAB"/>
    <w:rsid w:val="004F6FA1"/>
    <w:rsid w:val="004F7896"/>
    <w:rsid w:val="004F78F0"/>
    <w:rsid w:val="004F7EC8"/>
    <w:rsid w:val="0050060C"/>
    <w:rsid w:val="0050099B"/>
    <w:rsid w:val="005013C2"/>
    <w:rsid w:val="0050273E"/>
    <w:rsid w:val="005028F7"/>
    <w:rsid w:val="00503375"/>
    <w:rsid w:val="00503943"/>
    <w:rsid w:val="005042F6"/>
    <w:rsid w:val="005044D1"/>
    <w:rsid w:val="00504D4C"/>
    <w:rsid w:val="005051F3"/>
    <w:rsid w:val="00505288"/>
    <w:rsid w:val="0050564A"/>
    <w:rsid w:val="00505A1C"/>
    <w:rsid w:val="00505E4B"/>
    <w:rsid w:val="00507083"/>
    <w:rsid w:val="005078AE"/>
    <w:rsid w:val="005102DB"/>
    <w:rsid w:val="00510C9A"/>
    <w:rsid w:val="005110BA"/>
    <w:rsid w:val="005111BB"/>
    <w:rsid w:val="00511A01"/>
    <w:rsid w:val="00512BC1"/>
    <w:rsid w:val="005131C0"/>
    <w:rsid w:val="00513A4A"/>
    <w:rsid w:val="005140FA"/>
    <w:rsid w:val="00514471"/>
    <w:rsid w:val="005147AB"/>
    <w:rsid w:val="00514A98"/>
    <w:rsid w:val="00514F92"/>
    <w:rsid w:val="00515C2B"/>
    <w:rsid w:val="00515C40"/>
    <w:rsid w:val="0051614A"/>
    <w:rsid w:val="00516200"/>
    <w:rsid w:val="0051637C"/>
    <w:rsid w:val="005164FF"/>
    <w:rsid w:val="00516674"/>
    <w:rsid w:val="0051676B"/>
    <w:rsid w:val="0051679C"/>
    <w:rsid w:val="00516C7E"/>
    <w:rsid w:val="00517100"/>
    <w:rsid w:val="00517271"/>
    <w:rsid w:val="00517379"/>
    <w:rsid w:val="005173E0"/>
    <w:rsid w:val="0051761C"/>
    <w:rsid w:val="00517D66"/>
    <w:rsid w:val="00520BD7"/>
    <w:rsid w:val="00520EDF"/>
    <w:rsid w:val="0052107B"/>
    <w:rsid w:val="00521505"/>
    <w:rsid w:val="0052171E"/>
    <w:rsid w:val="00521AA7"/>
    <w:rsid w:val="00522360"/>
    <w:rsid w:val="0052249B"/>
    <w:rsid w:val="00522BA8"/>
    <w:rsid w:val="00522C02"/>
    <w:rsid w:val="005235BC"/>
    <w:rsid w:val="005244E6"/>
    <w:rsid w:val="0052458C"/>
    <w:rsid w:val="00524697"/>
    <w:rsid w:val="0052483C"/>
    <w:rsid w:val="00524D71"/>
    <w:rsid w:val="005257EC"/>
    <w:rsid w:val="00526109"/>
    <w:rsid w:val="00526259"/>
    <w:rsid w:val="00526585"/>
    <w:rsid w:val="00526B95"/>
    <w:rsid w:val="00526DF2"/>
    <w:rsid w:val="00527239"/>
    <w:rsid w:val="00527642"/>
    <w:rsid w:val="005276C1"/>
    <w:rsid w:val="0052791C"/>
    <w:rsid w:val="00527C37"/>
    <w:rsid w:val="00527C7B"/>
    <w:rsid w:val="005300FC"/>
    <w:rsid w:val="00530653"/>
    <w:rsid w:val="00531927"/>
    <w:rsid w:val="00531E87"/>
    <w:rsid w:val="00532BCB"/>
    <w:rsid w:val="005344BF"/>
    <w:rsid w:val="00534703"/>
    <w:rsid w:val="00534925"/>
    <w:rsid w:val="00534E88"/>
    <w:rsid w:val="00535693"/>
    <w:rsid w:val="00535CC3"/>
    <w:rsid w:val="00535EDF"/>
    <w:rsid w:val="00535F2C"/>
    <w:rsid w:val="00536049"/>
    <w:rsid w:val="0053658E"/>
    <w:rsid w:val="00536F5D"/>
    <w:rsid w:val="00537454"/>
    <w:rsid w:val="00537C71"/>
    <w:rsid w:val="00537FE0"/>
    <w:rsid w:val="0054046A"/>
    <w:rsid w:val="00540891"/>
    <w:rsid w:val="00540956"/>
    <w:rsid w:val="00540AFE"/>
    <w:rsid w:val="00541107"/>
    <w:rsid w:val="0054174C"/>
    <w:rsid w:val="0054272C"/>
    <w:rsid w:val="00542F03"/>
    <w:rsid w:val="005432E2"/>
    <w:rsid w:val="005439BA"/>
    <w:rsid w:val="00543B01"/>
    <w:rsid w:val="00543E78"/>
    <w:rsid w:val="0054407D"/>
    <w:rsid w:val="005441F2"/>
    <w:rsid w:val="00544C59"/>
    <w:rsid w:val="00547553"/>
    <w:rsid w:val="00547B18"/>
    <w:rsid w:val="00547BC3"/>
    <w:rsid w:val="00550543"/>
    <w:rsid w:val="0055063B"/>
    <w:rsid w:val="00550EAC"/>
    <w:rsid w:val="005510F2"/>
    <w:rsid w:val="00551350"/>
    <w:rsid w:val="00551663"/>
    <w:rsid w:val="0055171A"/>
    <w:rsid w:val="00551D33"/>
    <w:rsid w:val="005524A7"/>
    <w:rsid w:val="00552700"/>
    <w:rsid w:val="00552C71"/>
    <w:rsid w:val="00552F67"/>
    <w:rsid w:val="0055333A"/>
    <w:rsid w:val="005534BF"/>
    <w:rsid w:val="00553525"/>
    <w:rsid w:val="00553D80"/>
    <w:rsid w:val="00554ECF"/>
    <w:rsid w:val="0055544B"/>
    <w:rsid w:val="005559C0"/>
    <w:rsid w:val="00555E7D"/>
    <w:rsid w:val="005562F0"/>
    <w:rsid w:val="00556579"/>
    <w:rsid w:val="00556673"/>
    <w:rsid w:val="00556C6F"/>
    <w:rsid w:val="005571CF"/>
    <w:rsid w:val="005574F2"/>
    <w:rsid w:val="0055769B"/>
    <w:rsid w:val="00557785"/>
    <w:rsid w:val="00557B84"/>
    <w:rsid w:val="00557C9F"/>
    <w:rsid w:val="00557F15"/>
    <w:rsid w:val="0056017B"/>
    <w:rsid w:val="00560682"/>
    <w:rsid w:val="005609FE"/>
    <w:rsid w:val="005610B5"/>
    <w:rsid w:val="00562391"/>
    <w:rsid w:val="0056248D"/>
    <w:rsid w:val="00562544"/>
    <w:rsid w:val="005625A3"/>
    <w:rsid w:val="00562F5D"/>
    <w:rsid w:val="005630BE"/>
    <w:rsid w:val="005633D3"/>
    <w:rsid w:val="00564A61"/>
    <w:rsid w:val="00564A9F"/>
    <w:rsid w:val="00565144"/>
    <w:rsid w:val="0056548A"/>
    <w:rsid w:val="0056578B"/>
    <w:rsid w:val="005657E0"/>
    <w:rsid w:val="005667E0"/>
    <w:rsid w:val="00566854"/>
    <w:rsid w:val="00566DC8"/>
    <w:rsid w:val="00566F5E"/>
    <w:rsid w:val="0056753A"/>
    <w:rsid w:val="005675DD"/>
    <w:rsid w:val="00567A3F"/>
    <w:rsid w:val="00567C1C"/>
    <w:rsid w:val="0057057F"/>
    <w:rsid w:val="00570877"/>
    <w:rsid w:val="005708A4"/>
    <w:rsid w:val="00570EBE"/>
    <w:rsid w:val="00570F34"/>
    <w:rsid w:val="0057161D"/>
    <w:rsid w:val="005720EE"/>
    <w:rsid w:val="00572194"/>
    <w:rsid w:val="00572464"/>
    <w:rsid w:val="00572C6B"/>
    <w:rsid w:val="00572D41"/>
    <w:rsid w:val="00572FC2"/>
    <w:rsid w:val="00573632"/>
    <w:rsid w:val="00573837"/>
    <w:rsid w:val="00573D75"/>
    <w:rsid w:val="00574176"/>
    <w:rsid w:val="00574549"/>
    <w:rsid w:val="00574927"/>
    <w:rsid w:val="00574E62"/>
    <w:rsid w:val="00575375"/>
    <w:rsid w:val="005757C7"/>
    <w:rsid w:val="005761EE"/>
    <w:rsid w:val="0057634E"/>
    <w:rsid w:val="00576E96"/>
    <w:rsid w:val="005771CA"/>
    <w:rsid w:val="00577220"/>
    <w:rsid w:val="00577A6F"/>
    <w:rsid w:val="005804E6"/>
    <w:rsid w:val="00580771"/>
    <w:rsid w:val="0058279B"/>
    <w:rsid w:val="005833AB"/>
    <w:rsid w:val="0058385E"/>
    <w:rsid w:val="00584209"/>
    <w:rsid w:val="00584B66"/>
    <w:rsid w:val="00584BD5"/>
    <w:rsid w:val="00584C49"/>
    <w:rsid w:val="005855F4"/>
    <w:rsid w:val="00585DC4"/>
    <w:rsid w:val="00585E7F"/>
    <w:rsid w:val="0058645C"/>
    <w:rsid w:val="0058654C"/>
    <w:rsid w:val="005865E8"/>
    <w:rsid w:val="00586973"/>
    <w:rsid w:val="00586BA4"/>
    <w:rsid w:val="00586CA9"/>
    <w:rsid w:val="005873C3"/>
    <w:rsid w:val="005905DB"/>
    <w:rsid w:val="00590CD9"/>
    <w:rsid w:val="00590CFC"/>
    <w:rsid w:val="00590DD4"/>
    <w:rsid w:val="00591A43"/>
    <w:rsid w:val="00592B7E"/>
    <w:rsid w:val="005938B7"/>
    <w:rsid w:val="005949CD"/>
    <w:rsid w:val="00595250"/>
    <w:rsid w:val="00595291"/>
    <w:rsid w:val="005953FC"/>
    <w:rsid w:val="005955DC"/>
    <w:rsid w:val="0059601E"/>
    <w:rsid w:val="0059602C"/>
    <w:rsid w:val="005963CD"/>
    <w:rsid w:val="0059783F"/>
    <w:rsid w:val="005978AF"/>
    <w:rsid w:val="005A0911"/>
    <w:rsid w:val="005A13A4"/>
    <w:rsid w:val="005A19EC"/>
    <w:rsid w:val="005A24D6"/>
    <w:rsid w:val="005A2981"/>
    <w:rsid w:val="005A3326"/>
    <w:rsid w:val="005A34A7"/>
    <w:rsid w:val="005A35F4"/>
    <w:rsid w:val="005A36E7"/>
    <w:rsid w:val="005A3E21"/>
    <w:rsid w:val="005A493D"/>
    <w:rsid w:val="005A4A0E"/>
    <w:rsid w:val="005A508E"/>
    <w:rsid w:val="005A5848"/>
    <w:rsid w:val="005A5EC6"/>
    <w:rsid w:val="005A68E3"/>
    <w:rsid w:val="005A7111"/>
    <w:rsid w:val="005A7C27"/>
    <w:rsid w:val="005A7D40"/>
    <w:rsid w:val="005B0680"/>
    <w:rsid w:val="005B0872"/>
    <w:rsid w:val="005B1A16"/>
    <w:rsid w:val="005B2D4B"/>
    <w:rsid w:val="005B30A1"/>
    <w:rsid w:val="005B3927"/>
    <w:rsid w:val="005B3AA3"/>
    <w:rsid w:val="005B3EBB"/>
    <w:rsid w:val="005B4A25"/>
    <w:rsid w:val="005B5638"/>
    <w:rsid w:val="005B5FC0"/>
    <w:rsid w:val="005B64DB"/>
    <w:rsid w:val="005B6D0B"/>
    <w:rsid w:val="005B7190"/>
    <w:rsid w:val="005C0338"/>
    <w:rsid w:val="005C044E"/>
    <w:rsid w:val="005C05D2"/>
    <w:rsid w:val="005C0B22"/>
    <w:rsid w:val="005C17FD"/>
    <w:rsid w:val="005C187B"/>
    <w:rsid w:val="005C20E6"/>
    <w:rsid w:val="005C354F"/>
    <w:rsid w:val="005C359C"/>
    <w:rsid w:val="005C4494"/>
    <w:rsid w:val="005C4645"/>
    <w:rsid w:val="005C4A04"/>
    <w:rsid w:val="005C4B9B"/>
    <w:rsid w:val="005C51A0"/>
    <w:rsid w:val="005C53AB"/>
    <w:rsid w:val="005C5E33"/>
    <w:rsid w:val="005C628C"/>
    <w:rsid w:val="005C6776"/>
    <w:rsid w:val="005D010C"/>
    <w:rsid w:val="005D1745"/>
    <w:rsid w:val="005D2892"/>
    <w:rsid w:val="005D30C5"/>
    <w:rsid w:val="005D3721"/>
    <w:rsid w:val="005D3B5E"/>
    <w:rsid w:val="005D3F69"/>
    <w:rsid w:val="005D411A"/>
    <w:rsid w:val="005D4F83"/>
    <w:rsid w:val="005D5BB9"/>
    <w:rsid w:val="005D61DF"/>
    <w:rsid w:val="005D6B9D"/>
    <w:rsid w:val="005D77A4"/>
    <w:rsid w:val="005D7CE0"/>
    <w:rsid w:val="005E032D"/>
    <w:rsid w:val="005E0813"/>
    <w:rsid w:val="005E0C7C"/>
    <w:rsid w:val="005E12C2"/>
    <w:rsid w:val="005E1649"/>
    <w:rsid w:val="005E2340"/>
    <w:rsid w:val="005E24C2"/>
    <w:rsid w:val="005E2799"/>
    <w:rsid w:val="005E2D71"/>
    <w:rsid w:val="005E31B4"/>
    <w:rsid w:val="005E35E2"/>
    <w:rsid w:val="005E4568"/>
    <w:rsid w:val="005E4A04"/>
    <w:rsid w:val="005E4E32"/>
    <w:rsid w:val="005E6286"/>
    <w:rsid w:val="005E6319"/>
    <w:rsid w:val="005E68F8"/>
    <w:rsid w:val="005E6C0F"/>
    <w:rsid w:val="005E73BD"/>
    <w:rsid w:val="005E767C"/>
    <w:rsid w:val="005F01E8"/>
    <w:rsid w:val="005F0759"/>
    <w:rsid w:val="005F0920"/>
    <w:rsid w:val="005F0AE5"/>
    <w:rsid w:val="005F0FFA"/>
    <w:rsid w:val="005F1435"/>
    <w:rsid w:val="005F170A"/>
    <w:rsid w:val="005F1ED3"/>
    <w:rsid w:val="005F211A"/>
    <w:rsid w:val="005F21E6"/>
    <w:rsid w:val="005F2781"/>
    <w:rsid w:val="005F2A48"/>
    <w:rsid w:val="005F3388"/>
    <w:rsid w:val="005F40EA"/>
    <w:rsid w:val="005F4510"/>
    <w:rsid w:val="005F46DC"/>
    <w:rsid w:val="005F4B1A"/>
    <w:rsid w:val="005F4B86"/>
    <w:rsid w:val="005F4E3C"/>
    <w:rsid w:val="005F5CB3"/>
    <w:rsid w:val="005F6974"/>
    <w:rsid w:val="005F6F52"/>
    <w:rsid w:val="005F7317"/>
    <w:rsid w:val="005F7391"/>
    <w:rsid w:val="005F73B5"/>
    <w:rsid w:val="006000A3"/>
    <w:rsid w:val="00600D50"/>
    <w:rsid w:val="00600F07"/>
    <w:rsid w:val="006013BE"/>
    <w:rsid w:val="0060175B"/>
    <w:rsid w:val="00601B05"/>
    <w:rsid w:val="00601D45"/>
    <w:rsid w:val="00601D81"/>
    <w:rsid w:val="00602736"/>
    <w:rsid w:val="006028B7"/>
    <w:rsid w:val="00602C69"/>
    <w:rsid w:val="00602D8B"/>
    <w:rsid w:val="0060352B"/>
    <w:rsid w:val="006035FB"/>
    <w:rsid w:val="006036B8"/>
    <w:rsid w:val="00603906"/>
    <w:rsid w:val="006039AA"/>
    <w:rsid w:val="00603F55"/>
    <w:rsid w:val="00604FAA"/>
    <w:rsid w:val="00605532"/>
    <w:rsid w:val="00605575"/>
    <w:rsid w:val="00605A4B"/>
    <w:rsid w:val="00605AF9"/>
    <w:rsid w:val="00605D15"/>
    <w:rsid w:val="00606122"/>
    <w:rsid w:val="00606A9E"/>
    <w:rsid w:val="00606B70"/>
    <w:rsid w:val="00606E55"/>
    <w:rsid w:val="00606EBD"/>
    <w:rsid w:val="00606F69"/>
    <w:rsid w:val="00607004"/>
    <w:rsid w:val="0060796F"/>
    <w:rsid w:val="00610683"/>
    <w:rsid w:val="00610C97"/>
    <w:rsid w:val="00611A7B"/>
    <w:rsid w:val="00611D0F"/>
    <w:rsid w:val="006128F6"/>
    <w:rsid w:val="00612BCC"/>
    <w:rsid w:val="00612F9B"/>
    <w:rsid w:val="00612FD4"/>
    <w:rsid w:val="00613C2E"/>
    <w:rsid w:val="00613DD2"/>
    <w:rsid w:val="00614219"/>
    <w:rsid w:val="006142AD"/>
    <w:rsid w:val="006142B4"/>
    <w:rsid w:val="0061431E"/>
    <w:rsid w:val="0061672E"/>
    <w:rsid w:val="006169CA"/>
    <w:rsid w:val="00616D83"/>
    <w:rsid w:val="0061744A"/>
    <w:rsid w:val="00617DB4"/>
    <w:rsid w:val="00620040"/>
    <w:rsid w:val="006208B2"/>
    <w:rsid w:val="00620CE3"/>
    <w:rsid w:val="00621079"/>
    <w:rsid w:val="006210BA"/>
    <w:rsid w:val="00622539"/>
    <w:rsid w:val="006225B7"/>
    <w:rsid w:val="00622FDC"/>
    <w:rsid w:val="00623355"/>
    <w:rsid w:val="00623990"/>
    <w:rsid w:val="00624029"/>
    <w:rsid w:val="00624AE7"/>
    <w:rsid w:val="00626A6A"/>
    <w:rsid w:val="00626DFE"/>
    <w:rsid w:val="00627484"/>
    <w:rsid w:val="00627904"/>
    <w:rsid w:val="00627A03"/>
    <w:rsid w:val="00627AE1"/>
    <w:rsid w:val="00630353"/>
    <w:rsid w:val="006303D0"/>
    <w:rsid w:val="00630B17"/>
    <w:rsid w:val="00630C56"/>
    <w:rsid w:val="00630D26"/>
    <w:rsid w:val="0063141D"/>
    <w:rsid w:val="00631817"/>
    <w:rsid w:val="00631A70"/>
    <w:rsid w:val="00631CF2"/>
    <w:rsid w:val="0063246E"/>
    <w:rsid w:val="0063263F"/>
    <w:rsid w:val="006326BE"/>
    <w:rsid w:val="00633381"/>
    <w:rsid w:val="0063417F"/>
    <w:rsid w:val="00634458"/>
    <w:rsid w:val="00634AD0"/>
    <w:rsid w:val="00634B9C"/>
    <w:rsid w:val="00634BA1"/>
    <w:rsid w:val="00634EE9"/>
    <w:rsid w:val="00635861"/>
    <w:rsid w:val="00635EE9"/>
    <w:rsid w:val="00636352"/>
    <w:rsid w:val="00636C37"/>
    <w:rsid w:val="00636F52"/>
    <w:rsid w:val="006374A4"/>
    <w:rsid w:val="006374AB"/>
    <w:rsid w:val="00637D24"/>
    <w:rsid w:val="0064001D"/>
    <w:rsid w:val="00640A19"/>
    <w:rsid w:val="006416F0"/>
    <w:rsid w:val="006419C5"/>
    <w:rsid w:val="006419DE"/>
    <w:rsid w:val="00642228"/>
    <w:rsid w:val="006426AF"/>
    <w:rsid w:val="00642A92"/>
    <w:rsid w:val="00642C07"/>
    <w:rsid w:val="00642F9E"/>
    <w:rsid w:val="006433BA"/>
    <w:rsid w:val="00643705"/>
    <w:rsid w:val="006437ED"/>
    <w:rsid w:val="00644181"/>
    <w:rsid w:val="006444AF"/>
    <w:rsid w:val="00645580"/>
    <w:rsid w:val="0064558B"/>
    <w:rsid w:val="00645608"/>
    <w:rsid w:val="00645817"/>
    <w:rsid w:val="00646A95"/>
    <w:rsid w:val="00646D7A"/>
    <w:rsid w:val="006470EB"/>
    <w:rsid w:val="006472A3"/>
    <w:rsid w:val="006472A5"/>
    <w:rsid w:val="00647478"/>
    <w:rsid w:val="0064755C"/>
    <w:rsid w:val="006475F6"/>
    <w:rsid w:val="00647AC0"/>
    <w:rsid w:val="006506AD"/>
    <w:rsid w:val="006506BD"/>
    <w:rsid w:val="00650C80"/>
    <w:rsid w:val="00650DCB"/>
    <w:rsid w:val="006511FB"/>
    <w:rsid w:val="006517F3"/>
    <w:rsid w:val="00651940"/>
    <w:rsid w:val="00651D8C"/>
    <w:rsid w:val="006520DC"/>
    <w:rsid w:val="00652D45"/>
    <w:rsid w:val="00654852"/>
    <w:rsid w:val="00656746"/>
    <w:rsid w:val="00656DAC"/>
    <w:rsid w:val="006571F8"/>
    <w:rsid w:val="00657F39"/>
    <w:rsid w:val="00660C03"/>
    <w:rsid w:val="00660CEB"/>
    <w:rsid w:val="00661B82"/>
    <w:rsid w:val="006625AB"/>
    <w:rsid w:val="00662A47"/>
    <w:rsid w:val="0066316C"/>
    <w:rsid w:val="00663EB9"/>
    <w:rsid w:val="00663FBE"/>
    <w:rsid w:val="00664447"/>
    <w:rsid w:val="0066501A"/>
    <w:rsid w:val="0066581B"/>
    <w:rsid w:val="0066612A"/>
    <w:rsid w:val="00666577"/>
    <w:rsid w:val="00666D17"/>
    <w:rsid w:val="006671E1"/>
    <w:rsid w:val="0066721A"/>
    <w:rsid w:val="006679F4"/>
    <w:rsid w:val="00667E62"/>
    <w:rsid w:val="00670543"/>
    <w:rsid w:val="00670915"/>
    <w:rsid w:val="00670E88"/>
    <w:rsid w:val="00671427"/>
    <w:rsid w:val="00671819"/>
    <w:rsid w:val="00671A7D"/>
    <w:rsid w:val="0067200D"/>
    <w:rsid w:val="00672A48"/>
    <w:rsid w:val="00673D5E"/>
    <w:rsid w:val="00673DAA"/>
    <w:rsid w:val="0067439E"/>
    <w:rsid w:val="00674D0F"/>
    <w:rsid w:val="00675732"/>
    <w:rsid w:val="00675E8A"/>
    <w:rsid w:val="00676125"/>
    <w:rsid w:val="006761FF"/>
    <w:rsid w:val="00676215"/>
    <w:rsid w:val="0067643D"/>
    <w:rsid w:val="006770CF"/>
    <w:rsid w:val="00677311"/>
    <w:rsid w:val="006777B3"/>
    <w:rsid w:val="00680404"/>
    <w:rsid w:val="00680B31"/>
    <w:rsid w:val="00680CA6"/>
    <w:rsid w:val="00681268"/>
    <w:rsid w:val="00681E2C"/>
    <w:rsid w:val="006826B0"/>
    <w:rsid w:val="006826E9"/>
    <w:rsid w:val="0068293E"/>
    <w:rsid w:val="00682964"/>
    <w:rsid w:val="006829F0"/>
    <w:rsid w:val="006830B8"/>
    <w:rsid w:val="00683164"/>
    <w:rsid w:val="00683436"/>
    <w:rsid w:val="00683637"/>
    <w:rsid w:val="00683982"/>
    <w:rsid w:val="00683AF2"/>
    <w:rsid w:val="0068490C"/>
    <w:rsid w:val="00684B94"/>
    <w:rsid w:val="00684C62"/>
    <w:rsid w:val="00685850"/>
    <w:rsid w:val="0068622C"/>
    <w:rsid w:val="00686784"/>
    <w:rsid w:val="00687D11"/>
    <w:rsid w:val="00687ED4"/>
    <w:rsid w:val="006904AD"/>
    <w:rsid w:val="00690BE9"/>
    <w:rsid w:val="00690F18"/>
    <w:rsid w:val="006912BD"/>
    <w:rsid w:val="006913BF"/>
    <w:rsid w:val="00692344"/>
    <w:rsid w:val="00693073"/>
    <w:rsid w:val="00693221"/>
    <w:rsid w:val="006937FD"/>
    <w:rsid w:val="00693B0E"/>
    <w:rsid w:val="0069481F"/>
    <w:rsid w:val="00695A6D"/>
    <w:rsid w:val="00695A78"/>
    <w:rsid w:val="00696ABC"/>
    <w:rsid w:val="00696E0B"/>
    <w:rsid w:val="00696E33"/>
    <w:rsid w:val="006978FE"/>
    <w:rsid w:val="006979C7"/>
    <w:rsid w:val="00697D62"/>
    <w:rsid w:val="006A08A8"/>
    <w:rsid w:val="006A209A"/>
    <w:rsid w:val="006A21FE"/>
    <w:rsid w:val="006A220A"/>
    <w:rsid w:val="006A2BA2"/>
    <w:rsid w:val="006A2E20"/>
    <w:rsid w:val="006A2E70"/>
    <w:rsid w:val="006A4545"/>
    <w:rsid w:val="006A45C7"/>
    <w:rsid w:val="006A45E9"/>
    <w:rsid w:val="006A49EB"/>
    <w:rsid w:val="006A5BDF"/>
    <w:rsid w:val="006A67FC"/>
    <w:rsid w:val="006A6A14"/>
    <w:rsid w:val="006A6A4A"/>
    <w:rsid w:val="006A6C62"/>
    <w:rsid w:val="006A6FB2"/>
    <w:rsid w:val="006A70C9"/>
    <w:rsid w:val="006A774A"/>
    <w:rsid w:val="006A790D"/>
    <w:rsid w:val="006A7B5D"/>
    <w:rsid w:val="006A7F92"/>
    <w:rsid w:val="006B05F8"/>
    <w:rsid w:val="006B0894"/>
    <w:rsid w:val="006B231F"/>
    <w:rsid w:val="006B2BD6"/>
    <w:rsid w:val="006B39E5"/>
    <w:rsid w:val="006B3B39"/>
    <w:rsid w:val="006B3DBE"/>
    <w:rsid w:val="006B40CE"/>
    <w:rsid w:val="006B4C0B"/>
    <w:rsid w:val="006B50C3"/>
    <w:rsid w:val="006B51CE"/>
    <w:rsid w:val="006B53E6"/>
    <w:rsid w:val="006B5B0F"/>
    <w:rsid w:val="006B5F4B"/>
    <w:rsid w:val="006B6A32"/>
    <w:rsid w:val="006B7625"/>
    <w:rsid w:val="006B7D1D"/>
    <w:rsid w:val="006C0198"/>
    <w:rsid w:val="006C038B"/>
    <w:rsid w:val="006C07AA"/>
    <w:rsid w:val="006C0A5B"/>
    <w:rsid w:val="006C0FD5"/>
    <w:rsid w:val="006C1A80"/>
    <w:rsid w:val="006C1C02"/>
    <w:rsid w:val="006C2852"/>
    <w:rsid w:val="006C2BAA"/>
    <w:rsid w:val="006C34C9"/>
    <w:rsid w:val="006C3BDC"/>
    <w:rsid w:val="006C3C40"/>
    <w:rsid w:val="006C4BD5"/>
    <w:rsid w:val="006C4F61"/>
    <w:rsid w:val="006C5D6A"/>
    <w:rsid w:val="006C6241"/>
    <w:rsid w:val="006C6248"/>
    <w:rsid w:val="006C6D31"/>
    <w:rsid w:val="006C7812"/>
    <w:rsid w:val="006C7BB9"/>
    <w:rsid w:val="006C7F80"/>
    <w:rsid w:val="006D060C"/>
    <w:rsid w:val="006D0EB7"/>
    <w:rsid w:val="006D0ED0"/>
    <w:rsid w:val="006D1B02"/>
    <w:rsid w:val="006D203D"/>
    <w:rsid w:val="006D3A97"/>
    <w:rsid w:val="006D400A"/>
    <w:rsid w:val="006D41EE"/>
    <w:rsid w:val="006D4609"/>
    <w:rsid w:val="006D4906"/>
    <w:rsid w:val="006D4E62"/>
    <w:rsid w:val="006D4EE3"/>
    <w:rsid w:val="006D652C"/>
    <w:rsid w:val="006D6E1F"/>
    <w:rsid w:val="006D6E35"/>
    <w:rsid w:val="006D744B"/>
    <w:rsid w:val="006D7578"/>
    <w:rsid w:val="006E075A"/>
    <w:rsid w:val="006E0BF8"/>
    <w:rsid w:val="006E1337"/>
    <w:rsid w:val="006E1390"/>
    <w:rsid w:val="006E1814"/>
    <w:rsid w:val="006E19AB"/>
    <w:rsid w:val="006E225B"/>
    <w:rsid w:val="006E2A62"/>
    <w:rsid w:val="006E2BB5"/>
    <w:rsid w:val="006E346F"/>
    <w:rsid w:val="006E4060"/>
    <w:rsid w:val="006E4790"/>
    <w:rsid w:val="006E525D"/>
    <w:rsid w:val="006E5BA4"/>
    <w:rsid w:val="006E5C15"/>
    <w:rsid w:val="006E6214"/>
    <w:rsid w:val="006E65BD"/>
    <w:rsid w:val="006E6BC7"/>
    <w:rsid w:val="006E6DCA"/>
    <w:rsid w:val="006E6E8D"/>
    <w:rsid w:val="006E70D5"/>
    <w:rsid w:val="006E76A7"/>
    <w:rsid w:val="006E789B"/>
    <w:rsid w:val="006E797E"/>
    <w:rsid w:val="006F1EE3"/>
    <w:rsid w:val="006F1F16"/>
    <w:rsid w:val="006F234B"/>
    <w:rsid w:val="006F2463"/>
    <w:rsid w:val="006F26C5"/>
    <w:rsid w:val="006F2FA2"/>
    <w:rsid w:val="006F3093"/>
    <w:rsid w:val="006F3A67"/>
    <w:rsid w:val="006F3AB7"/>
    <w:rsid w:val="006F4224"/>
    <w:rsid w:val="006F50C0"/>
    <w:rsid w:val="006F535E"/>
    <w:rsid w:val="006F5779"/>
    <w:rsid w:val="006F57D6"/>
    <w:rsid w:val="006F57FE"/>
    <w:rsid w:val="006F5B56"/>
    <w:rsid w:val="006F5F2B"/>
    <w:rsid w:val="006F6D98"/>
    <w:rsid w:val="006F7EB5"/>
    <w:rsid w:val="00700458"/>
    <w:rsid w:val="00700AF3"/>
    <w:rsid w:val="00701035"/>
    <w:rsid w:val="007010F4"/>
    <w:rsid w:val="00701410"/>
    <w:rsid w:val="00701543"/>
    <w:rsid w:val="007015A4"/>
    <w:rsid w:val="00702038"/>
    <w:rsid w:val="007020DC"/>
    <w:rsid w:val="00702443"/>
    <w:rsid w:val="00703D92"/>
    <w:rsid w:val="00703E34"/>
    <w:rsid w:val="00704AD1"/>
    <w:rsid w:val="00704F87"/>
    <w:rsid w:val="0070543C"/>
    <w:rsid w:val="00705557"/>
    <w:rsid w:val="007056DD"/>
    <w:rsid w:val="00705CBA"/>
    <w:rsid w:val="0070619B"/>
    <w:rsid w:val="007062E7"/>
    <w:rsid w:val="0070672F"/>
    <w:rsid w:val="007068F2"/>
    <w:rsid w:val="00706BDB"/>
    <w:rsid w:val="007073A9"/>
    <w:rsid w:val="00707779"/>
    <w:rsid w:val="007079D7"/>
    <w:rsid w:val="007103A3"/>
    <w:rsid w:val="0071066A"/>
    <w:rsid w:val="00710708"/>
    <w:rsid w:val="0071128B"/>
    <w:rsid w:val="00711CE4"/>
    <w:rsid w:val="00711E2A"/>
    <w:rsid w:val="00712E3A"/>
    <w:rsid w:val="007134A9"/>
    <w:rsid w:val="00713554"/>
    <w:rsid w:val="0071364D"/>
    <w:rsid w:val="00714519"/>
    <w:rsid w:val="00714C64"/>
    <w:rsid w:val="00715A91"/>
    <w:rsid w:val="00715B4E"/>
    <w:rsid w:val="00715F45"/>
    <w:rsid w:val="00715FEA"/>
    <w:rsid w:val="00716131"/>
    <w:rsid w:val="007163E3"/>
    <w:rsid w:val="00716868"/>
    <w:rsid w:val="00716B46"/>
    <w:rsid w:val="0071739B"/>
    <w:rsid w:val="007179A9"/>
    <w:rsid w:val="007205FE"/>
    <w:rsid w:val="007211F9"/>
    <w:rsid w:val="0072127F"/>
    <w:rsid w:val="00721331"/>
    <w:rsid w:val="0072151B"/>
    <w:rsid w:val="00722554"/>
    <w:rsid w:val="0072391D"/>
    <w:rsid w:val="00723A2C"/>
    <w:rsid w:val="007247E0"/>
    <w:rsid w:val="00724A00"/>
    <w:rsid w:val="00724BF0"/>
    <w:rsid w:val="00724DC0"/>
    <w:rsid w:val="0072507C"/>
    <w:rsid w:val="00725853"/>
    <w:rsid w:val="007265AB"/>
    <w:rsid w:val="007268C2"/>
    <w:rsid w:val="00726B53"/>
    <w:rsid w:val="007276DB"/>
    <w:rsid w:val="00727C6C"/>
    <w:rsid w:val="00727DF6"/>
    <w:rsid w:val="00730AD6"/>
    <w:rsid w:val="00730FB3"/>
    <w:rsid w:val="007313CC"/>
    <w:rsid w:val="0073146D"/>
    <w:rsid w:val="00731589"/>
    <w:rsid w:val="00731777"/>
    <w:rsid w:val="00732C35"/>
    <w:rsid w:val="00732F57"/>
    <w:rsid w:val="0073347A"/>
    <w:rsid w:val="007335B7"/>
    <w:rsid w:val="00733A26"/>
    <w:rsid w:val="00733F30"/>
    <w:rsid w:val="0073414F"/>
    <w:rsid w:val="0073462E"/>
    <w:rsid w:val="0073530A"/>
    <w:rsid w:val="0073554A"/>
    <w:rsid w:val="00735CD1"/>
    <w:rsid w:val="00735EA9"/>
    <w:rsid w:val="007369A4"/>
    <w:rsid w:val="00736C98"/>
    <w:rsid w:val="0073775F"/>
    <w:rsid w:val="007378AA"/>
    <w:rsid w:val="00737AEC"/>
    <w:rsid w:val="00737C64"/>
    <w:rsid w:val="007409C9"/>
    <w:rsid w:val="00741628"/>
    <w:rsid w:val="0074171E"/>
    <w:rsid w:val="00741B30"/>
    <w:rsid w:val="0074205F"/>
    <w:rsid w:val="007423EB"/>
    <w:rsid w:val="007434A3"/>
    <w:rsid w:val="007436C2"/>
    <w:rsid w:val="007439DD"/>
    <w:rsid w:val="00743F89"/>
    <w:rsid w:val="007442B3"/>
    <w:rsid w:val="00744367"/>
    <w:rsid w:val="00745464"/>
    <w:rsid w:val="00745672"/>
    <w:rsid w:val="007456A9"/>
    <w:rsid w:val="007458AB"/>
    <w:rsid w:val="00745BA2"/>
    <w:rsid w:val="00745D0D"/>
    <w:rsid w:val="00745EC5"/>
    <w:rsid w:val="00745FE0"/>
    <w:rsid w:val="0074638C"/>
    <w:rsid w:val="00746F46"/>
    <w:rsid w:val="00747484"/>
    <w:rsid w:val="00747934"/>
    <w:rsid w:val="00747E63"/>
    <w:rsid w:val="00747F4C"/>
    <w:rsid w:val="007512D7"/>
    <w:rsid w:val="00751DC3"/>
    <w:rsid w:val="007533EA"/>
    <w:rsid w:val="00753998"/>
    <w:rsid w:val="00753EEA"/>
    <w:rsid w:val="00753F82"/>
    <w:rsid w:val="0075456F"/>
    <w:rsid w:val="00754713"/>
    <w:rsid w:val="007548B4"/>
    <w:rsid w:val="00754E54"/>
    <w:rsid w:val="007552FD"/>
    <w:rsid w:val="007557F5"/>
    <w:rsid w:val="00755F9F"/>
    <w:rsid w:val="00756448"/>
    <w:rsid w:val="007564DE"/>
    <w:rsid w:val="007571EF"/>
    <w:rsid w:val="00757A6C"/>
    <w:rsid w:val="0076058D"/>
    <w:rsid w:val="007618C6"/>
    <w:rsid w:val="00761C1C"/>
    <w:rsid w:val="007621D8"/>
    <w:rsid w:val="007621E2"/>
    <w:rsid w:val="00762A41"/>
    <w:rsid w:val="00762B3B"/>
    <w:rsid w:val="0076350F"/>
    <w:rsid w:val="007638F3"/>
    <w:rsid w:val="00763BB8"/>
    <w:rsid w:val="0076447C"/>
    <w:rsid w:val="00764630"/>
    <w:rsid w:val="00764794"/>
    <w:rsid w:val="007648FB"/>
    <w:rsid w:val="007649A6"/>
    <w:rsid w:val="00764CC6"/>
    <w:rsid w:val="00764DD3"/>
    <w:rsid w:val="00764DEA"/>
    <w:rsid w:val="007656F7"/>
    <w:rsid w:val="00766189"/>
    <w:rsid w:val="007661B3"/>
    <w:rsid w:val="007675ED"/>
    <w:rsid w:val="00767F87"/>
    <w:rsid w:val="007704C4"/>
    <w:rsid w:val="00771669"/>
    <w:rsid w:val="007716F9"/>
    <w:rsid w:val="00772482"/>
    <w:rsid w:val="0077276B"/>
    <w:rsid w:val="007727AB"/>
    <w:rsid w:val="00772BD9"/>
    <w:rsid w:val="00774254"/>
    <w:rsid w:val="00774336"/>
    <w:rsid w:val="007743FF"/>
    <w:rsid w:val="00774EE8"/>
    <w:rsid w:val="00774EF0"/>
    <w:rsid w:val="00775426"/>
    <w:rsid w:val="0077577D"/>
    <w:rsid w:val="007765E6"/>
    <w:rsid w:val="007765FC"/>
    <w:rsid w:val="007768AA"/>
    <w:rsid w:val="00776BD2"/>
    <w:rsid w:val="0077787B"/>
    <w:rsid w:val="007806E8"/>
    <w:rsid w:val="0078084C"/>
    <w:rsid w:val="00781223"/>
    <w:rsid w:val="0078242E"/>
    <w:rsid w:val="00783331"/>
    <w:rsid w:val="00783A83"/>
    <w:rsid w:val="00783D01"/>
    <w:rsid w:val="007842C4"/>
    <w:rsid w:val="0078432C"/>
    <w:rsid w:val="00784D6B"/>
    <w:rsid w:val="0078514A"/>
    <w:rsid w:val="00785190"/>
    <w:rsid w:val="00785648"/>
    <w:rsid w:val="007863B6"/>
    <w:rsid w:val="0078658C"/>
    <w:rsid w:val="00786827"/>
    <w:rsid w:val="0078730E"/>
    <w:rsid w:val="0078784E"/>
    <w:rsid w:val="00787C34"/>
    <w:rsid w:val="00787C78"/>
    <w:rsid w:val="00790454"/>
    <w:rsid w:val="00791989"/>
    <w:rsid w:val="00791DF5"/>
    <w:rsid w:val="007920C6"/>
    <w:rsid w:val="00792303"/>
    <w:rsid w:val="0079248D"/>
    <w:rsid w:val="00792D2F"/>
    <w:rsid w:val="00792D61"/>
    <w:rsid w:val="00793B52"/>
    <w:rsid w:val="00793E61"/>
    <w:rsid w:val="00793FFA"/>
    <w:rsid w:val="00794A88"/>
    <w:rsid w:val="00795716"/>
    <w:rsid w:val="00795892"/>
    <w:rsid w:val="00795A71"/>
    <w:rsid w:val="00795B7A"/>
    <w:rsid w:val="00797687"/>
    <w:rsid w:val="00797CB4"/>
    <w:rsid w:val="007A0B33"/>
    <w:rsid w:val="007A12A5"/>
    <w:rsid w:val="007A25D0"/>
    <w:rsid w:val="007A26DB"/>
    <w:rsid w:val="007A2CAB"/>
    <w:rsid w:val="007A348F"/>
    <w:rsid w:val="007A4EA5"/>
    <w:rsid w:val="007A50BE"/>
    <w:rsid w:val="007A5EF8"/>
    <w:rsid w:val="007A64B9"/>
    <w:rsid w:val="007A6E6D"/>
    <w:rsid w:val="007A70AF"/>
    <w:rsid w:val="007A71CB"/>
    <w:rsid w:val="007A743A"/>
    <w:rsid w:val="007A7D33"/>
    <w:rsid w:val="007B0224"/>
    <w:rsid w:val="007B049E"/>
    <w:rsid w:val="007B0A5B"/>
    <w:rsid w:val="007B1694"/>
    <w:rsid w:val="007B1A09"/>
    <w:rsid w:val="007B3172"/>
    <w:rsid w:val="007B325D"/>
    <w:rsid w:val="007B3991"/>
    <w:rsid w:val="007B3BC6"/>
    <w:rsid w:val="007B415E"/>
    <w:rsid w:val="007B4CC5"/>
    <w:rsid w:val="007B50FF"/>
    <w:rsid w:val="007B52B4"/>
    <w:rsid w:val="007B5A12"/>
    <w:rsid w:val="007B6C26"/>
    <w:rsid w:val="007B752C"/>
    <w:rsid w:val="007B76FE"/>
    <w:rsid w:val="007C09E8"/>
    <w:rsid w:val="007C0DC6"/>
    <w:rsid w:val="007C1A86"/>
    <w:rsid w:val="007C1D4A"/>
    <w:rsid w:val="007C1F8A"/>
    <w:rsid w:val="007C2E49"/>
    <w:rsid w:val="007C31A2"/>
    <w:rsid w:val="007C3201"/>
    <w:rsid w:val="007C3BEF"/>
    <w:rsid w:val="007C406C"/>
    <w:rsid w:val="007C44B7"/>
    <w:rsid w:val="007C467A"/>
    <w:rsid w:val="007C4A78"/>
    <w:rsid w:val="007C4FF2"/>
    <w:rsid w:val="007C5BF6"/>
    <w:rsid w:val="007C5EDA"/>
    <w:rsid w:val="007C602D"/>
    <w:rsid w:val="007C64D6"/>
    <w:rsid w:val="007C692E"/>
    <w:rsid w:val="007C6A04"/>
    <w:rsid w:val="007C702C"/>
    <w:rsid w:val="007C7558"/>
    <w:rsid w:val="007C7665"/>
    <w:rsid w:val="007C7D01"/>
    <w:rsid w:val="007D0016"/>
    <w:rsid w:val="007D04D7"/>
    <w:rsid w:val="007D0D32"/>
    <w:rsid w:val="007D0DD9"/>
    <w:rsid w:val="007D1045"/>
    <w:rsid w:val="007D14F3"/>
    <w:rsid w:val="007D1A7B"/>
    <w:rsid w:val="007D1ED2"/>
    <w:rsid w:val="007D2598"/>
    <w:rsid w:val="007D2D73"/>
    <w:rsid w:val="007D3311"/>
    <w:rsid w:val="007D33A5"/>
    <w:rsid w:val="007D389F"/>
    <w:rsid w:val="007D394F"/>
    <w:rsid w:val="007D4206"/>
    <w:rsid w:val="007D46E6"/>
    <w:rsid w:val="007D4B40"/>
    <w:rsid w:val="007D4F15"/>
    <w:rsid w:val="007D50B4"/>
    <w:rsid w:val="007D5548"/>
    <w:rsid w:val="007D5573"/>
    <w:rsid w:val="007D5A77"/>
    <w:rsid w:val="007D6848"/>
    <w:rsid w:val="007D7190"/>
    <w:rsid w:val="007D724D"/>
    <w:rsid w:val="007D733F"/>
    <w:rsid w:val="007D7352"/>
    <w:rsid w:val="007D743C"/>
    <w:rsid w:val="007D77E9"/>
    <w:rsid w:val="007E03DA"/>
    <w:rsid w:val="007E0690"/>
    <w:rsid w:val="007E0DA6"/>
    <w:rsid w:val="007E0FC1"/>
    <w:rsid w:val="007E298F"/>
    <w:rsid w:val="007E2AB9"/>
    <w:rsid w:val="007E2B4A"/>
    <w:rsid w:val="007E3CB9"/>
    <w:rsid w:val="007E3DDB"/>
    <w:rsid w:val="007E3E2C"/>
    <w:rsid w:val="007E4114"/>
    <w:rsid w:val="007E43C0"/>
    <w:rsid w:val="007E582B"/>
    <w:rsid w:val="007E5B2A"/>
    <w:rsid w:val="007E5F82"/>
    <w:rsid w:val="007E607A"/>
    <w:rsid w:val="007E6BDA"/>
    <w:rsid w:val="007E6C67"/>
    <w:rsid w:val="007E74FD"/>
    <w:rsid w:val="007E799D"/>
    <w:rsid w:val="007E7D5D"/>
    <w:rsid w:val="007E7E26"/>
    <w:rsid w:val="007F029E"/>
    <w:rsid w:val="007F0986"/>
    <w:rsid w:val="007F0C57"/>
    <w:rsid w:val="007F0DC3"/>
    <w:rsid w:val="007F0FBB"/>
    <w:rsid w:val="007F1575"/>
    <w:rsid w:val="007F1590"/>
    <w:rsid w:val="007F1708"/>
    <w:rsid w:val="007F1A2A"/>
    <w:rsid w:val="007F20A9"/>
    <w:rsid w:val="007F2308"/>
    <w:rsid w:val="007F2512"/>
    <w:rsid w:val="007F2585"/>
    <w:rsid w:val="007F3CF1"/>
    <w:rsid w:val="007F42B4"/>
    <w:rsid w:val="007F4551"/>
    <w:rsid w:val="007F4F6C"/>
    <w:rsid w:val="007F50E2"/>
    <w:rsid w:val="007F5204"/>
    <w:rsid w:val="007F544F"/>
    <w:rsid w:val="007F5848"/>
    <w:rsid w:val="007F5AF5"/>
    <w:rsid w:val="007F5DCD"/>
    <w:rsid w:val="007F5E97"/>
    <w:rsid w:val="007F6122"/>
    <w:rsid w:val="007F6B17"/>
    <w:rsid w:val="007F6B68"/>
    <w:rsid w:val="007F711C"/>
    <w:rsid w:val="007F7674"/>
    <w:rsid w:val="007F767F"/>
    <w:rsid w:val="007F778C"/>
    <w:rsid w:val="008005A5"/>
    <w:rsid w:val="00800796"/>
    <w:rsid w:val="008020F6"/>
    <w:rsid w:val="00802311"/>
    <w:rsid w:val="008036CB"/>
    <w:rsid w:val="0080450B"/>
    <w:rsid w:val="00804883"/>
    <w:rsid w:val="00805363"/>
    <w:rsid w:val="0080590F"/>
    <w:rsid w:val="00805A19"/>
    <w:rsid w:val="00805C92"/>
    <w:rsid w:val="00806059"/>
    <w:rsid w:val="00806434"/>
    <w:rsid w:val="008069B0"/>
    <w:rsid w:val="0081031A"/>
    <w:rsid w:val="00811022"/>
    <w:rsid w:val="008115D1"/>
    <w:rsid w:val="00811ED8"/>
    <w:rsid w:val="00812174"/>
    <w:rsid w:val="008124A8"/>
    <w:rsid w:val="00812E99"/>
    <w:rsid w:val="008132E5"/>
    <w:rsid w:val="008141F4"/>
    <w:rsid w:val="008149E9"/>
    <w:rsid w:val="00814CB2"/>
    <w:rsid w:val="00815C0D"/>
    <w:rsid w:val="00815D31"/>
    <w:rsid w:val="008166EC"/>
    <w:rsid w:val="00816A7C"/>
    <w:rsid w:val="00817484"/>
    <w:rsid w:val="008176DD"/>
    <w:rsid w:val="00820068"/>
    <w:rsid w:val="008205F1"/>
    <w:rsid w:val="00820ED1"/>
    <w:rsid w:val="008215A9"/>
    <w:rsid w:val="0082163F"/>
    <w:rsid w:val="008216AD"/>
    <w:rsid w:val="008216FB"/>
    <w:rsid w:val="00821826"/>
    <w:rsid w:val="0082185A"/>
    <w:rsid w:val="00822505"/>
    <w:rsid w:val="00822752"/>
    <w:rsid w:val="00822CA9"/>
    <w:rsid w:val="00822E79"/>
    <w:rsid w:val="00823013"/>
    <w:rsid w:val="008231AD"/>
    <w:rsid w:val="0082349B"/>
    <w:rsid w:val="00823DDF"/>
    <w:rsid w:val="008240A6"/>
    <w:rsid w:val="008246DF"/>
    <w:rsid w:val="008247B6"/>
    <w:rsid w:val="00824881"/>
    <w:rsid w:val="00824F00"/>
    <w:rsid w:val="0082555C"/>
    <w:rsid w:val="008255E0"/>
    <w:rsid w:val="00825AC3"/>
    <w:rsid w:val="00825C0A"/>
    <w:rsid w:val="00825E8C"/>
    <w:rsid w:val="008264B5"/>
    <w:rsid w:val="0082666B"/>
    <w:rsid w:val="008275C0"/>
    <w:rsid w:val="00827E70"/>
    <w:rsid w:val="00830485"/>
    <w:rsid w:val="00830986"/>
    <w:rsid w:val="008318D4"/>
    <w:rsid w:val="00831F8D"/>
    <w:rsid w:val="00832415"/>
    <w:rsid w:val="00832A6F"/>
    <w:rsid w:val="00832CE3"/>
    <w:rsid w:val="00834195"/>
    <w:rsid w:val="00834968"/>
    <w:rsid w:val="00834E6D"/>
    <w:rsid w:val="00835090"/>
    <w:rsid w:val="0083536D"/>
    <w:rsid w:val="0083578B"/>
    <w:rsid w:val="00835A36"/>
    <w:rsid w:val="00835EFB"/>
    <w:rsid w:val="008364F4"/>
    <w:rsid w:val="00836D16"/>
    <w:rsid w:val="00836EA1"/>
    <w:rsid w:val="00837255"/>
    <w:rsid w:val="00837700"/>
    <w:rsid w:val="00837BBE"/>
    <w:rsid w:val="0084015B"/>
    <w:rsid w:val="00840C3D"/>
    <w:rsid w:val="0084101C"/>
    <w:rsid w:val="00841C89"/>
    <w:rsid w:val="008420C8"/>
    <w:rsid w:val="008421A4"/>
    <w:rsid w:val="00842B25"/>
    <w:rsid w:val="00842CAB"/>
    <w:rsid w:val="00842E29"/>
    <w:rsid w:val="00843D7E"/>
    <w:rsid w:val="00843DF9"/>
    <w:rsid w:val="008455D3"/>
    <w:rsid w:val="0084590E"/>
    <w:rsid w:val="00845DE3"/>
    <w:rsid w:val="00845EB0"/>
    <w:rsid w:val="00846114"/>
    <w:rsid w:val="008466EC"/>
    <w:rsid w:val="008475C2"/>
    <w:rsid w:val="008508D4"/>
    <w:rsid w:val="00850AF5"/>
    <w:rsid w:val="008510AE"/>
    <w:rsid w:val="0085135A"/>
    <w:rsid w:val="008516B8"/>
    <w:rsid w:val="00851EBC"/>
    <w:rsid w:val="008524E8"/>
    <w:rsid w:val="0085250A"/>
    <w:rsid w:val="00852B1F"/>
    <w:rsid w:val="00852C8E"/>
    <w:rsid w:val="008530E5"/>
    <w:rsid w:val="0085339D"/>
    <w:rsid w:val="008534D1"/>
    <w:rsid w:val="00853835"/>
    <w:rsid w:val="008540A7"/>
    <w:rsid w:val="00854F1B"/>
    <w:rsid w:val="00855D95"/>
    <w:rsid w:val="00856618"/>
    <w:rsid w:val="00856CC0"/>
    <w:rsid w:val="00857837"/>
    <w:rsid w:val="00857932"/>
    <w:rsid w:val="00857CAB"/>
    <w:rsid w:val="00860ECE"/>
    <w:rsid w:val="0086113A"/>
    <w:rsid w:val="00861147"/>
    <w:rsid w:val="00861588"/>
    <w:rsid w:val="008616F9"/>
    <w:rsid w:val="00861F71"/>
    <w:rsid w:val="00862087"/>
    <w:rsid w:val="008629F7"/>
    <w:rsid w:val="00863161"/>
    <w:rsid w:val="008634B9"/>
    <w:rsid w:val="008636AA"/>
    <w:rsid w:val="00863B1A"/>
    <w:rsid w:val="008641A1"/>
    <w:rsid w:val="00864695"/>
    <w:rsid w:val="00864CCE"/>
    <w:rsid w:val="00864E38"/>
    <w:rsid w:val="0086567F"/>
    <w:rsid w:val="0086585A"/>
    <w:rsid w:val="00865C5A"/>
    <w:rsid w:val="00865E59"/>
    <w:rsid w:val="00866A61"/>
    <w:rsid w:val="00866F47"/>
    <w:rsid w:val="00866F73"/>
    <w:rsid w:val="0086705E"/>
    <w:rsid w:val="00867634"/>
    <w:rsid w:val="00870879"/>
    <w:rsid w:val="00871538"/>
    <w:rsid w:val="00871FBC"/>
    <w:rsid w:val="008735D3"/>
    <w:rsid w:val="00873A51"/>
    <w:rsid w:val="00874B52"/>
    <w:rsid w:val="00874C1B"/>
    <w:rsid w:val="00874CC5"/>
    <w:rsid w:val="0087515D"/>
    <w:rsid w:val="0087519D"/>
    <w:rsid w:val="0087562E"/>
    <w:rsid w:val="00875DA9"/>
    <w:rsid w:val="00876404"/>
    <w:rsid w:val="008767AD"/>
    <w:rsid w:val="008767F7"/>
    <w:rsid w:val="0088005A"/>
    <w:rsid w:val="00880332"/>
    <w:rsid w:val="008804F4"/>
    <w:rsid w:val="008810D6"/>
    <w:rsid w:val="00881E85"/>
    <w:rsid w:val="008825D8"/>
    <w:rsid w:val="008826A5"/>
    <w:rsid w:val="008830AD"/>
    <w:rsid w:val="00883625"/>
    <w:rsid w:val="00883647"/>
    <w:rsid w:val="00884990"/>
    <w:rsid w:val="00884D33"/>
    <w:rsid w:val="00884E8E"/>
    <w:rsid w:val="008850A9"/>
    <w:rsid w:val="0088569B"/>
    <w:rsid w:val="00885851"/>
    <w:rsid w:val="00885B75"/>
    <w:rsid w:val="00885B9A"/>
    <w:rsid w:val="00885EF0"/>
    <w:rsid w:val="008867E9"/>
    <w:rsid w:val="00886955"/>
    <w:rsid w:val="00886E09"/>
    <w:rsid w:val="00886F1C"/>
    <w:rsid w:val="00887404"/>
    <w:rsid w:val="0089020F"/>
    <w:rsid w:val="008905EC"/>
    <w:rsid w:val="008908C2"/>
    <w:rsid w:val="00890DA0"/>
    <w:rsid w:val="00890E64"/>
    <w:rsid w:val="00891531"/>
    <w:rsid w:val="00891B8B"/>
    <w:rsid w:val="0089214F"/>
    <w:rsid w:val="008925D4"/>
    <w:rsid w:val="0089288D"/>
    <w:rsid w:val="008940C5"/>
    <w:rsid w:val="00894484"/>
    <w:rsid w:val="00894A49"/>
    <w:rsid w:val="00894D85"/>
    <w:rsid w:val="008953EC"/>
    <w:rsid w:val="008961A4"/>
    <w:rsid w:val="00896A64"/>
    <w:rsid w:val="008A03FE"/>
    <w:rsid w:val="008A06C7"/>
    <w:rsid w:val="008A078F"/>
    <w:rsid w:val="008A090B"/>
    <w:rsid w:val="008A0B5F"/>
    <w:rsid w:val="008A0BC1"/>
    <w:rsid w:val="008A0BE3"/>
    <w:rsid w:val="008A0CF2"/>
    <w:rsid w:val="008A0D60"/>
    <w:rsid w:val="008A13A4"/>
    <w:rsid w:val="008A19BF"/>
    <w:rsid w:val="008A2627"/>
    <w:rsid w:val="008A28E6"/>
    <w:rsid w:val="008A2AA8"/>
    <w:rsid w:val="008A3205"/>
    <w:rsid w:val="008A38D5"/>
    <w:rsid w:val="008A3B2B"/>
    <w:rsid w:val="008A40AF"/>
    <w:rsid w:val="008A420B"/>
    <w:rsid w:val="008A4295"/>
    <w:rsid w:val="008A62BA"/>
    <w:rsid w:val="008A673B"/>
    <w:rsid w:val="008A6777"/>
    <w:rsid w:val="008A6E4A"/>
    <w:rsid w:val="008A6E65"/>
    <w:rsid w:val="008A7B7F"/>
    <w:rsid w:val="008B0391"/>
    <w:rsid w:val="008B0AC0"/>
    <w:rsid w:val="008B1321"/>
    <w:rsid w:val="008B17B9"/>
    <w:rsid w:val="008B1E07"/>
    <w:rsid w:val="008B21C3"/>
    <w:rsid w:val="008B26A4"/>
    <w:rsid w:val="008B3994"/>
    <w:rsid w:val="008B39AA"/>
    <w:rsid w:val="008B4284"/>
    <w:rsid w:val="008B469F"/>
    <w:rsid w:val="008B4830"/>
    <w:rsid w:val="008B505B"/>
    <w:rsid w:val="008B5295"/>
    <w:rsid w:val="008B52CA"/>
    <w:rsid w:val="008B6402"/>
    <w:rsid w:val="008B66B1"/>
    <w:rsid w:val="008B6B5A"/>
    <w:rsid w:val="008B6B65"/>
    <w:rsid w:val="008B6EE9"/>
    <w:rsid w:val="008B7671"/>
    <w:rsid w:val="008B7AAC"/>
    <w:rsid w:val="008B7EC6"/>
    <w:rsid w:val="008B7F4E"/>
    <w:rsid w:val="008C019E"/>
    <w:rsid w:val="008C041A"/>
    <w:rsid w:val="008C0537"/>
    <w:rsid w:val="008C06B3"/>
    <w:rsid w:val="008C0799"/>
    <w:rsid w:val="008C1F4A"/>
    <w:rsid w:val="008C2216"/>
    <w:rsid w:val="008C2C55"/>
    <w:rsid w:val="008C3324"/>
    <w:rsid w:val="008C3681"/>
    <w:rsid w:val="008C37D9"/>
    <w:rsid w:val="008C3B47"/>
    <w:rsid w:val="008C3D81"/>
    <w:rsid w:val="008C473C"/>
    <w:rsid w:val="008C48BD"/>
    <w:rsid w:val="008C4CAD"/>
    <w:rsid w:val="008C4DBA"/>
    <w:rsid w:val="008C58B3"/>
    <w:rsid w:val="008C5DBA"/>
    <w:rsid w:val="008C60AE"/>
    <w:rsid w:val="008C63FD"/>
    <w:rsid w:val="008C6683"/>
    <w:rsid w:val="008C6856"/>
    <w:rsid w:val="008C7444"/>
    <w:rsid w:val="008C7F82"/>
    <w:rsid w:val="008D00C9"/>
    <w:rsid w:val="008D0852"/>
    <w:rsid w:val="008D086A"/>
    <w:rsid w:val="008D10D4"/>
    <w:rsid w:val="008D1C01"/>
    <w:rsid w:val="008D1C4D"/>
    <w:rsid w:val="008D2318"/>
    <w:rsid w:val="008D26CD"/>
    <w:rsid w:val="008D299A"/>
    <w:rsid w:val="008D2CAF"/>
    <w:rsid w:val="008D2D0A"/>
    <w:rsid w:val="008D36E8"/>
    <w:rsid w:val="008D38F6"/>
    <w:rsid w:val="008D3D6C"/>
    <w:rsid w:val="008D5304"/>
    <w:rsid w:val="008D5CA4"/>
    <w:rsid w:val="008D5D02"/>
    <w:rsid w:val="008D60D5"/>
    <w:rsid w:val="008D682A"/>
    <w:rsid w:val="008D6A2A"/>
    <w:rsid w:val="008D6B6D"/>
    <w:rsid w:val="008D6C8E"/>
    <w:rsid w:val="008D6D1F"/>
    <w:rsid w:val="008D7097"/>
    <w:rsid w:val="008D78AB"/>
    <w:rsid w:val="008D78BD"/>
    <w:rsid w:val="008D7C6B"/>
    <w:rsid w:val="008E04D7"/>
    <w:rsid w:val="008E074F"/>
    <w:rsid w:val="008E1703"/>
    <w:rsid w:val="008E1720"/>
    <w:rsid w:val="008E2069"/>
    <w:rsid w:val="008E2110"/>
    <w:rsid w:val="008E2A17"/>
    <w:rsid w:val="008E2C08"/>
    <w:rsid w:val="008E2E00"/>
    <w:rsid w:val="008E2E32"/>
    <w:rsid w:val="008E3514"/>
    <w:rsid w:val="008E3754"/>
    <w:rsid w:val="008E3EA8"/>
    <w:rsid w:val="008E41FD"/>
    <w:rsid w:val="008E516C"/>
    <w:rsid w:val="008E60E1"/>
    <w:rsid w:val="008E642F"/>
    <w:rsid w:val="008E6604"/>
    <w:rsid w:val="008E664B"/>
    <w:rsid w:val="008E6A0A"/>
    <w:rsid w:val="008E6F8C"/>
    <w:rsid w:val="008E737A"/>
    <w:rsid w:val="008E7413"/>
    <w:rsid w:val="008E7AE7"/>
    <w:rsid w:val="008F0990"/>
    <w:rsid w:val="008F0D46"/>
    <w:rsid w:val="008F123A"/>
    <w:rsid w:val="008F19DF"/>
    <w:rsid w:val="008F1A17"/>
    <w:rsid w:val="008F1F5F"/>
    <w:rsid w:val="008F28AD"/>
    <w:rsid w:val="008F2C0A"/>
    <w:rsid w:val="008F315E"/>
    <w:rsid w:val="008F333B"/>
    <w:rsid w:val="008F35CB"/>
    <w:rsid w:val="008F3FDE"/>
    <w:rsid w:val="008F417E"/>
    <w:rsid w:val="008F48A1"/>
    <w:rsid w:val="008F4AA8"/>
    <w:rsid w:val="008F5D16"/>
    <w:rsid w:val="008F5F05"/>
    <w:rsid w:val="008F6488"/>
    <w:rsid w:val="008F64F7"/>
    <w:rsid w:val="008F65F9"/>
    <w:rsid w:val="008F6BBF"/>
    <w:rsid w:val="008F6FBB"/>
    <w:rsid w:val="008F71AD"/>
    <w:rsid w:val="008F7783"/>
    <w:rsid w:val="008F7A91"/>
    <w:rsid w:val="008F7CF4"/>
    <w:rsid w:val="008F7FB6"/>
    <w:rsid w:val="00900239"/>
    <w:rsid w:val="009007D0"/>
    <w:rsid w:val="009007E8"/>
    <w:rsid w:val="00900A42"/>
    <w:rsid w:val="00900BFB"/>
    <w:rsid w:val="00900DDF"/>
    <w:rsid w:val="00900F26"/>
    <w:rsid w:val="0090100B"/>
    <w:rsid w:val="00901428"/>
    <w:rsid w:val="00901654"/>
    <w:rsid w:val="00901930"/>
    <w:rsid w:val="009022C1"/>
    <w:rsid w:val="009028CF"/>
    <w:rsid w:val="00902A1A"/>
    <w:rsid w:val="00903333"/>
    <w:rsid w:val="009035AF"/>
    <w:rsid w:val="00903741"/>
    <w:rsid w:val="00903F5F"/>
    <w:rsid w:val="00903F88"/>
    <w:rsid w:val="009040F8"/>
    <w:rsid w:val="00904D13"/>
    <w:rsid w:val="00904F81"/>
    <w:rsid w:val="009050B1"/>
    <w:rsid w:val="00905351"/>
    <w:rsid w:val="0090596C"/>
    <w:rsid w:val="00905BA6"/>
    <w:rsid w:val="00905DCA"/>
    <w:rsid w:val="00905DE8"/>
    <w:rsid w:val="00906895"/>
    <w:rsid w:val="009068BB"/>
    <w:rsid w:val="00906ABA"/>
    <w:rsid w:val="00906B56"/>
    <w:rsid w:val="009070DD"/>
    <w:rsid w:val="0091094D"/>
    <w:rsid w:val="00910B83"/>
    <w:rsid w:val="00910DD0"/>
    <w:rsid w:val="00911F16"/>
    <w:rsid w:val="00912B7B"/>
    <w:rsid w:val="00912C14"/>
    <w:rsid w:val="00912FCD"/>
    <w:rsid w:val="0091375C"/>
    <w:rsid w:val="009144CE"/>
    <w:rsid w:val="00914872"/>
    <w:rsid w:val="00914CD6"/>
    <w:rsid w:val="00914F85"/>
    <w:rsid w:val="00915539"/>
    <w:rsid w:val="0091555A"/>
    <w:rsid w:val="00915596"/>
    <w:rsid w:val="00915752"/>
    <w:rsid w:val="00915C65"/>
    <w:rsid w:val="00915C74"/>
    <w:rsid w:val="0091690B"/>
    <w:rsid w:val="00916A15"/>
    <w:rsid w:val="00917069"/>
    <w:rsid w:val="009173BE"/>
    <w:rsid w:val="009174AE"/>
    <w:rsid w:val="00917FB6"/>
    <w:rsid w:val="00920E02"/>
    <w:rsid w:val="00920F8B"/>
    <w:rsid w:val="0092183E"/>
    <w:rsid w:val="00921AC4"/>
    <w:rsid w:val="00921E97"/>
    <w:rsid w:val="0092256F"/>
    <w:rsid w:val="00922F1C"/>
    <w:rsid w:val="009237AF"/>
    <w:rsid w:val="00923991"/>
    <w:rsid w:val="00923CFE"/>
    <w:rsid w:val="00923DF0"/>
    <w:rsid w:val="00924360"/>
    <w:rsid w:val="0092448F"/>
    <w:rsid w:val="00924599"/>
    <w:rsid w:val="0092497F"/>
    <w:rsid w:val="00925737"/>
    <w:rsid w:val="009257D8"/>
    <w:rsid w:val="00925ACB"/>
    <w:rsid w:val="00925BAF"/>
    <w:rsid w:val="00925E63"/>
    <w:rsid w:val="009260C8"/>
    <w:rsid w:val="0092628A"/>
    <w:rsid w:val="009263B8"/>
    <w:rsid w:val="00926A8C"/>
    <w:rsid w:val="00926ADD"/>
    <w:rsid w:val="00926C93"/>
    <w:rsid w:val="00927C6A"/>
    <w:rsid w:val="00930605"/>
    <w:rsid w:val="00930955"/>
    <w:rsid w:val="009309CF"/>
    <w:rsid w:val="009312C7"/>
    <w:rsid w:val="00931351"/>
    <w:rsid w:val="009318A3"/>
    <w:rsid w:val="00932F34"/>
    <w:rsid w:val="00933355"/>
    <w:rsid w:val="0093344C"/>
    <w:rsid w:val="00933C34"/>
    <w:rsid w:val="009341B5"/>
    <w:rsid w:val="009341DB"/>
    <w:rsid w:val="00934321"/>
    <w:rsid w:val="00934481"/>
    <w:rsid w:val="00934DEB"/>
    <w:rsid w:val="00935200"/>
    <w:rsid w:val="00935728"/>
    <w:rsid w:val="00935814"/>
    <w:rsid w:val="00935C4A"/>
    <w:rsid w:val="00935D67"/>
    <w:rsid w:val="00935DD7"/>
    <w:rsid w:val="009365D6"/>
    <w:rsid w:val="00937C91"/>
    <w:rsid w:val="009402FC"/>
    <w:rsid w:val="0094039A"/>
    <w:rsid w:val="00940574"/>
    <w:rsid w:val="00940D51"/>
    <w:rsid w:val="00941416"/>
    <w:rsid w:val="009415DD"/>
    <w:rsid w:val="00941658"/>
    <w:rsid w:val="00941D8D"/>
    <w:rsid w:val="00941FAA"/>
    <w:rsid w:val="0094217B"/>
    <w:rsid w:val="009424E8"/>
    <w:rsid w:val="009426CE"/>
    <w:rsid w:val="00942779"/>
    <w:rsid w:val="00942796"/>
    <w:rsid w:val="009432D7"/>
    <w:rsid w:val="009434BE"/>
    <w:rsid w:val="0094358B"/>
    <w:rsid w:val="009448EB"/>
    <w:rsid w:val="00944CB7"/>
    <w:rsid w:val="00944FBF"/>
    <w:rsid w:val="00946683"/>
    <w:rsid w:val="009467ED"/>
    <w:rsid w:val="009469CD"/>
    <w:rsid w:val="0094727A"/>
    <w:rsid w:val="009472C7"/>
    <w:rsid w:val="009472F0"/>
    <w:rsid w:val="0094734B"/>
    <w:rsid w:val="0094774F"/>
    <w:rsid w:val="00947A57"/>
    <w:rsid w:val="00947C42"/>
    <w:rsid w:val="00950919"/>
    <w:rsid w:val="00950987"/>
    <w:rsid w:val="00950F41"/>
    <w:rsid w:val="00952662"/>
    <w:rsid w:val="00952690"/>
    <w:rsid w:val="00953ED3"/>
    <w:rsid w:val="0095408D"/>
    <w:rsid w:val="009545FC"/>
    <w:rsid w:val="0095498A"/>
    <w:rsid w:val="009549D2"/>
    <w:rsid w:val="00954ACE"/>
    <w:rsid w:val="00955243"/>
    <w:rsid w:val="00956669"/>
    <w:rsid w:val="0095683C"/>
    <w:rsid w:val="00957ECC"/>
    <w:rsid w:val="00957F36"/>
    <w:rsid w:val="009607F9"/>
    <w:rsid w:val="00960A34"/>
    <w:rsid w:val="009610F2"/>
    <w:rsid w:val="00961CD1"/>
    <w:rsid w:val="0096235A"/>
    <w:rsid w:val="0096310D"/>
    <w:rsid w:val="00963D29"/>
    <w:rsid w:val="00963D82"/>
    <w:rsid w:val="009648D8"/>
    <w:rsid w:val="00964AF8"/>
    <w:rsid w:val="00965508"/>
    <w:rsid w:val="00965B88"/>
    <w:rsid w:val="00965E38"/>
    <w:rsid w:val="0096609B"/>
    <w:rsid w:val="00966E2C"/>
    <w:rsid w:val="0096711B"/>
    <w:rsid w:val="009671DE"/>
    <w:rsid w:val="0096793F"/>
    <w:rsid w:val="009700A0"/>
    <w:rsid w:val="009704CC"/>
    <w:rsid w:val="00970C91"/>
    <w:rsid w:val="00970CCA"/>
    <w:rsid w:val="0097143E"/>
    <w:rsid w:val="009714FE"/>
    <w:rsid w:val="00971964"/>
    <w:rsid w:val="00971FE9"/>
    <w:rsid w:val="00972C46"/>
    <w:rsid w:val="0097376B"/>
    <w:rsid w:val="00973893"/>
    <w:rsid w:val="00973AA2"/>
    <w:rsid w:val="00973AD8"/>
    <w:rsid w:val="00973E8C"/>
    <w:rsid w:val="00973FDF"/>
    <w:rsid w:val="0097462C"/>
    <w:rsid w:val="0097543C"/>
    <w:rsid w:val="00975596"/>
    <w:rsid w:val="0097572A"/>
    <w:rsid w:val="009758CD"/>
    <w:rsid w:val="009758D1"/>
    <w:rsid w:val="00975D27"/>
    <w:rsid w:val="00976043"/>
    <w:rsid w:val="0097642C"/>
    <w:rsid w:val="00976457"/>
    <w:rsid w:val="009773BB"/>
    <w:rsid w:val="0097760B"/>
    <w:rsid w:val="0098022C"/>
    <w:rsid w:val="00980AEA"/>
    <w:rsid w:val="0098155A"/>
    <w:rsid w:val="009818EC"/>
    <w:rsid w:val="009819F7"/>
    <w:rsid w:val="009822B9"/>
    <w:rsid w:val="009826FD"/>
    <w:rsid w:val="00983288"/>
    <w:rsid w:val="0098338B"/>
    <w:rsid w:val="00984B5A"/>
    <w:rsid w:val="00984F07"/>
    <w:rsid w:val="00985B81"/>
    <w:rsid w:val="00986993"/>
    <w:rsid w:val="00987888"/>
    <w:rsid w:val="00987B35"/>
    <w:rsid w:val="00987E9C"/>
    <w:rsid w:val="0099042F"/>
    <w:rsid w:val="00990AAE"/>
    <w:rsid w:val="0099172C"/>
    <w:rsid w:val="009917C1"/>
    <w:rsid w:val="009917FF"/>
    <w:rsid w:val="00991B07"/>
    <w:rsid w:val="00993139"/>
    <w:rsid w:val="00993478"/>
    <w:rsid w:val="00993785"/>
    <w:rsid w:val="00993C71"/>
    <w:rsid w:val="00995AF8"/>
    <w:rsid w:val="0099625A"/>
    <w:rsid w:val="009964D8"/>
    <w:rsid w:val="00996A76"/>
    <w:rsid w:val="00997272"/>
    <w:rsid w:val="00997290"/>
    <w:rsid w:val="009974DA"/>
    <w:rsid w:val="00997955"/>
    <w:rsid w:val="009A0566"/>
    <w:rsid w:val="009A06DB"/>
    <w:rsid w:val="009A095B"/>
    <w:rsid w:val="009A1203"/>
    <w:rsid w:val="009A1A71"/>
    <w:rsid w:val="009A21D0"/>
    <w:rsid w:val="009A284D"/>
    <w:rsid w:val="009A2D4A"/>
    <w:rsid w:val="009A2F98"/>
    <w:rsid w:val="009A3A81"/>
    <w:rsid w:val="009A4954"/>
    <w:rsid w:val="009A525E"/>
    <w:rsid w:val="009A53E5"/>
    <w:rsid w:val="009A5506"/>
    <w:rsid w:val="009A663C"/>
    <w:rsid w:val="009A6C8A"/>
    <w:rsid w:val="009A718F"/>
    <w:rsid w:val="009A7578"/>
    <w:rsid w:val="009A77CC"/>
    <w:rsid w:val="009B0064"/>
    <w:rsid w:val="009B0E8F"/>
    <w:rsid w:val="009B1077"/>
    <w:rsid w:val="009B1268"/>
    <w:rsid w:val="009B223D"/>
    <w:rsid w:val="009B226D"/>
    <w:rsid w:val="009B25C0"/>
    <w:rsid w:val="009B4105"/>
    <w:rsid w:val="009B4939"/>
    <w:rsid w:val="009B5233"/>
    <w:rsid w:val="009B5447"/>
    <w:rsid w:val="009B551C"/>
    <w:rsid w:val="009B5DA2"/>
    <w:rsid w:val="009B61CC"/>
    <w:rsid w:val="009B6767"/>
    <w:rsid w:val="009B6CFE"/>
    <w:rsid w:val="009B71E1"/>
    <w:rsid w:val="009B7285"/>
    <w:rsid w:val="009B7965"/>
    <w:rsid w:val="009B7CF6"/>
    <w:rsid w:val="009B7D3D"/>
    <w:rsid w:val="009B7DA2"/>
    <w:rsid w:val="009C003C"/>
    <w:rsid w:val="009C031D"/>
    <w:rsid w:val="009C0356"/>
    <w:rsid w:val="009C0659"/>
    <w:rsid w:val="009C0AD3"/>
    <w:rsid w:val="009C15DC"/>
    <w:rsid w:val="009C1C29"/>
    <w:rsid w:val="009C1C4D"/>
    <w:rsid w:val="009C2409"/>
    <w:rsid w:val="009C30C4"/>
    <w:rsid w:val="009C30CE"/>
    <w:rsid w:val="009C34D5"/>
    <w:rsid w:val="009C3753"/>
    <w:rsid w:val="009C376F"/>
    <w:rsid w:val="009C3868"/>
    <w:rsid w:val="009C3FDD"/>
    <w:rsid w:val="009C4B7B"/>
    <w:rsid w:val="009C4C47"/>
    <w:rsid w:val="009C584D"/>
    <w:rsid w:val="009C61E8"/>
    <w:rsid w:val="009C700F"/>
    <w:rsid w:val="009C753A"/>
    <w:rsid w:val="009C753B"/>
    <w:rsid w:val="009C7A90"/>
    <w:rsid w:val="009D04B2"/>
    <w:rsid w:val="009D07C2"/>
    <w:rsid w:val="009D15D6"/>
    <w:rsid w:val="009D1877"/>
    <w:rsid w:val="009D1AF9"/>
    <w:rsid w:val="009D1EBB"/>
    <w:rsid w:val="009D26A7"/>
    <w:rsid w:val="009D3205"/>
    <w:rsid w:val="009D3888"/>
    <w:rsid w:val="009D3C58"/>
    <w:rsid w:val="009D46C2"/>
    <w:rsid w:val="009D4DCD"/>
    <w:rsid w:val="009D5807"/>
    <w:rsid w:val="009D59F0"/>
    <w:rsid w:val="009D5C69"/>
    <w:rsid w:val="009D649B"/>
    <w:rsid w:val="009D681F"/>
    <w:rsid w:val="009D6908"/>
    <w:rsid w:val="009D7286"/>
    <w:rsid w:val="009D7B79"/>
    <w:rsid w:val="009D7C4E"/>
    <w:rsid w:val="009D7E3D"/>
    <w:rsid w:val="009E09A3"/>
    <w:rsid w:val="009E09C8"/>
    <w:rsid w:val="009E1657"/>
    <w:rsid w:val="009E1ACE"/>
    <w:rsid w:val="009E20A7"/>
    <w:rsid w:val="009E26EA"/>
    <w:rsid w:val="009E2E5E"/>
    <w:rsid w:val="009E2E76"/>
    <w:rsid w:val="009E339F"/>
    <w:rsid w:val="009E3647"/>
    <w:rsid w:val="009E440B"/>
    <w:rsid w:val="009E5517"/>
    <w:rsid w:val="009E6679"/>
    <w:rsid w:val="009E6790"/>
    <w:rsid w:val="009E6A1D"/>
    <w:rsid w:val="009E6C97"/>
    <w:rsid w:val="009E7649"/>
    <w:rsid w:val="009F0381"/>
    <w:rsid w:val="009F0709"/>
    <w:rsid w:val="009F1BBF"/>
    <w:rsid w:val="009F20C9"/>
    <w:rsid w:val="009F2279"/>
    <w:rsid w:val="009F27E1"/>
    <w:rsid w:val="009F2931"/>
    <w:rsid w:val="009F31C4"/>
    <w:rsid w:val="009F383D"/>
    <w:rsid w:val="009F3881"/>
    <w:rsid w:val="009F39DA"/>
    <w:rsid w:val="009F52FD"/>
    <w:rsid w:val="009F55EE"/>
    <w:rsid w:val="009F5E55"/>
    <w:rsid w:val="009F5E86"/>
    <w:rsid w:val="009F5F8A"/>
    <w:rsid w:val="009F6739"/>
    <w:rsid w:val="009F6F34"/>
    <w:rsid w:val="009F7354"/>
    <w:rsid w:val="009F795B"/>
    <w:rsid w:val="009F7AED"/>
    <w:rsid w:val="00A00BCD"/>
    <w:rsid w:val="00A00CA3"/>
    <w:rsid w:val="00A00F8A"/>
    <w:rsid w:val="00A011B1"/>
    <w:rsid w:val="00A014FD"/>
    <w:rsid w:val="00A02015"/>
    <w:rsid w:val="00A02875"/>
    <w:rsid w:val="00A02B55"/>
    <w:rsid w:val="00A02B59"/>
    <w:rsid w:val="00A02DE0"/>
    <w:rsid w:val="00A02E19"/>
    <w:rsid w:val="00A036ED"/>
    <w:rsid w:val="00A03A7F"/>
    <w:rsid w:val="00A0403F"/>
    <w:rsid w:val="00A0405D"/>
    <w:rsid w:val="00A04477"/>
    <w:rsid w:val="00A04F7B"/>
    <w:rsid w:val="00A0529D"/>
    <w:rsid w:val="00A0547A"/>
    <w:rsid w:val="00A05624"/>
    <w:rsid w:val="00A05668"/>
    <w:rsid w:val="00A05F04"/>
    <w:rsid w:val="00A0610A"/>
    <w:rsid w:val="00A06F49"/>
    <w:rsid w:val="00A104CF"/>
    <w:rsid w:val="00A108FD"/>
    <w:rsid w:val="00A117AA"/>
    <w:rsid w:val="00A122ED"/>
    <w:rsid w:val="00A122F0"/>
    <w:rsid w:val="00A1241E"/>
    <w:rsid w:val="00A126EF"/>
    <w:rsid w:val="00A12C2C"/>
    <w:rsid w:val="00A12E52"/>
    <w:rsid w:val="00A139B9"/>
    <w:rsid w:val="00A13A07"/>
    <w:rsid w:val="00A13B37"/>
    <w:rsid w:val="00A13FC8"/>
    <w:rsid w:val="00A14CDA"/>
    <w:rsid w:val="00A154B7"/>
    <w:rsid w:val="00A1653C"/>
    <w:rsid w:val="00A170A0"/>
    <w:rsid w:val="00A17A81"/>
    <w:rsid w:val="00A17C46"/>
    <w:rsid w:val="00A17CD9"/>
    <w:rsid w:val="00A20236"/>
    <w:rsid w:val="00A203F3"/>
    <w:rsid w:val="00A21465"/>
    <w:rsid w:val="00A21914"/>
    <w:rsid w:val="00A21A05"/>
    <w:rsid w:val="00A21E49"/>
    <w:rsid w:val="00A2230E"/>
    <w:rsid w:val="00A224B2"/>
    <w:rsid w:val="00A224BB"/>
    <w:rsid w:val="00A22D10"/>
    <w:rsid w:val="00A23870"/>
    <w:rsid w:val="00A2390B"/>
    <w:rsid w:val="00A23B90"/>
    <w:rsid w:val="00A23C8F"/>
    <w:rsid w:val="00A2419C"/>
    <w:rsid w:val="00A24391"/>
    <w:rsid w:val="00A246B3"/>
    <w:rsid w:val="00A24E60"/>
    <w:rsid w:val="00A24E85"/>
    <w:rsid w:val="00A25301"/>
    <w:rsid w:val="00A25621"/>
    <w:rsid w:val="00A25A8B"/>
    <w:rsid w:val="00A25B08"/>
    <w:rsid w:val="00A25B18"/>
    <w:rsid w:val="00A25B5C"/>
    <w:rsid w:val="00A25B69"/>
    <w:rsid w:val="00A27016"/>
    <w:rsid w:val="00A27588"/>
    <w:rsid w:val="00A27FBF"/>
    <w:rsid w:val="00A27FF7"/>
    <w:rsid w:val="00A300A6"/>
    <w:rsid w:val="00A304A9"/>
    <w:rsid w:val="00A30A16"/>
    <w:rsid w:val="00A30AD1"/>
    <w:rsid w:val="00A31450"/>
    <w:rsid w:val="00A31740"/>
    <w:rsid w:val="00A31E44"/>
    <w:rsid w:val="00A320B5"/>
    <w:rsid w:val="00A33392"/>
    <w:rsid w:val="00A33D25"/>
    <w:rsid w:val="00A33DCD"/>
    <w:rsid w:val="00A3482B"/>
    <w:rsid w:val="00A34E84"/>
    <w:rsid w:val="00A34E8E"/>
    <w:rsid w:val="00A34EEE"/>
    <w:rsid w:val="00A352B0"/>
    <w:rsid w:val="00A35BD7"/>
    <w:rsid w:val="00A35FE7"/>
    <w:rsid w:val="00A364C0"/>
    <w:rsid w:val="00A36B36"/>
    <w:rsid w:val="00A36EB4"/>
    <w:rsid w:val="00A3742E"/>
    <w:rsid w:val="00A37BD1"/>
    <w:rsid w:val="00A37EAE"/>
    <w:rsid w:val="00A4085D"/>
    <w:rsid w:val="00A4197C"/>
    <w:rsid w:val="00A41B3E"/>
    <w:rsid w:val="00A425D7"/>
    <w:rsid w:val="00A4281C"/>
    <w:rsid w:val="00A431B9"/>
    <w:rsid w:val="00A43F43"/>
    <w:rsid w:val="00A44005"/>
    <w:rsid w:val="00A44784"/>
    <w:rsid w:val="00A44D98"/>
    <w:rsid w:val="00A45031"/>
    <w:rsid w:val="00A45086"/>
    <w:rsid w:val="00A45618"/>
    <w:rsid w:val="00A457BE"/>
    <w:rsid w:val="00A4585E"/>
    <w:rsid w:val="00A45CA1"/>
    <w:rsid w:val="00A45F8C"/>
    <w:rsid w:val="00A462A6"/>
    <w:rsid w:val="00A46470"/>
    <w:rsid w:val="00A465BA"/>
    <w:rsid w:val="00A47736"/>
    <w:rsid w:val="00A5070D"/>
    <w:rsid w:val="00A50804"/>
    <w:rsid w:val="00A50DEB"/>
    <w:rsid w:val="00A5325C"/>
    <w:rsid w:val="00A533B8"/>
    <w:rsid w:val="00A535F7"/>
    <w:rsid w:val="00A53DE2"/>
    <w:rsid w:val="00A53EE6"/>
    <w:rsid w:val="00A54182"/>
    <w:rsid w:val="00A54880"/>
    <w:rsid w:val="00A55122"/>
    <w:rsid w:val="00A56520"/>
    <w:rsid w:val="00A566E8"/>
    <w:rsid w:val="00A56DC4"/>
    <w:rsid w:val="00A5714C"/>
    <w:rsid w:val="00A5769A"/>
    <w:rsid w:val="00A576A6"/>
    <w:rsid w:val="00A5796B"/>
    <w:rsid w:val="00A60D32"/>
    <w:rsid w:val="00A60F5B"/>
    <w:rsid w:val="00A6125E"/>
    <w:rsid w:val="00A61D68"/>
    <w:rsid w:val="00A623AA"/>
    <w:rsid w:val="00A62565"/>
    <w:rsid w:val="00A625D4"/>
    <w:rsid w:val="00A6275A"/>
    <w:rsid w:val="00A62C80"/>
    <w:rsid w:val="00A62FFC"/>
    <w:rsid w:val="00A63EFE"/>
    <w:rsid w:val="00A6424A"/>
    <w:rsid w:val="00A64399"/>
    <w:rsid w:val="00A64DFB"/>
    <w:rsid w:val="00A65068"/>
    <w:rsid w:val="00A65380"/>
    <w:rsid w:val="00A658F3"/>
    <w:rsid w:val="00A65C5E"/>
    <w:rsid w:val="00A66166"/>
    <w:rsid w:val="00A661F1"/>
    <w:rsid w:val="00A667FC"/>
    <w:rsid w:val="00A701A6"/>
    <w:rsid w:val="00A7022F"/>
    <w:rsid w:val="00A70980"/>
    <w:rsid w:val="00A72227"/>
    <w:rsid w:val="00A72FA4"/>
    <w:rsid w:val="00A736FE"/>
    <w:rsid w:val="00A740EC"/>
    <w:rsid w:val="00A74217"/>
    <w:rsid w:val="00A74D9D"/>
    <w:rsid w:val="00A751AE"/>
    <w:rsid w:val="00A76663"/>
    <w:rsid w:val="00A769E1"/>
    <w:rsid w:val="00A769EC"/>
    <w:rsid w:val="00A76CBE"/>
    <w:rsid w:val="00A776D4"/>
    <w:rsid w:val="00A77AC3"/>
    <w:rsid w:val="00A80E3A"/>
    <w:rsid w:val="00A8108F"/>
    <w:rsid w:val="00A81181"/>
    <w:rsid w:val="00A81719"/>
    <w:rsid w:val="00A81871"/>
    <w:rsid w:val="00A819BA"/>
    <w:rsid w:val="00A81BFF"/>
    <w:rsid w:val="00A81FBB"/>
    <w:rsid w:val="00A8204F"/>
    <w:rsid w:val="00A82A5B"/>
    <w:rsid w:val="00A83012"/>
    <w:rsid w:val="00A83239"/>
    <w:rsid w:val="00A83264"/>
    <w:rsid w:val="00A83979"/>
    <w:rsid w:val="00A8470E"/>
    <w:rsid w:val="00A84757"/>
    <w:rsid w:val="00A851B9"/>
    <w:rsid w:val="00A85379"/>
    <w:rsid w:val="00A853E3"/>
    <w:rsid w:val="00A854C9"/>
    <w:rsid w:val="00A85877"/>
    <w:rsid w:val="00A86370"/>
    <w:rsid w:val="00A86BD7"/>
    <w:rsid w:val="00A86FBF"/>
    <w:rsid w:val="00A872DB"/>
    <w:rsid w:val="00A876C7"/>
    <w:rsid w:val="00A8793A"/>
    <w:rsid w:val="00A87B0C"/>
    <w:rsid w:val="00A87EDA"/>
    <w:rsid w:val="00A90798"/>
    <w:rsid w:val="00A90ED2"/>
    <w:rsid w:val="00A90FC7"/>
    <w:rsid w:val="00A9165D"/>
    <w:rsid w:val="00A91683"/>
    <w:rsid w:val="00A91EF6"/>
    <w:rsid w:val="00A92158"/>
    <w:rsid w:val="00A92610"/>
    <w:rsid w:val="00A926F4"/>
    <w:rsid w:val="00A927DF"/>
    <w:rsid w:val="00A929B8"/>
    <w:rsid w:val="00A92AD8"/>
    <w:rsid w:val="00A92B08"/>
    <w:rsid w:val="00A932B5"/>
    <w:rsid w:val="00A934C8"/>
    <w:rsid w:val="00A93BDB"/>
    <w:rsid w:val="00A93CFA"/>
    <w:rsid w:val="00A9429B"/>
    <w:rsid w:val="00A946C5"/>
    <w:rsid w:val="00A94B80"/>
    <w:rsid w:val="00A952B2"/>
    <w:rsid w:val="00A9579A"/>
    <w:rsid w:val="00A95B3D"/>
    <w:rsid w:val="00A95BA7"/>
    <w:rsid w:val="00A96684"/>
    <w:rsid w:val="00A968C1"/>
    <w:rsid w:val="00A96FD1"/>
    <w:rsid w:val="00A97033"/>
    <w:rsid w:val="00A97189"/>
    <w:rsid w:val="00A97543"/>
    <w:rsid w:val="00A97D57"/>
    <w:rsid w:val="00AA0AAD"/>
    <w:rsid w:val="00AA1303"/>
    <w:rsid w:val="00AA15C4"/>
    <w:rsid w:val="00AA1C28"/>
    <w:rsid w:val="00AA2457"/>
    <w:rsid w:val="00AA2860"/>
    <w:rsid w:val="00AA2D40"/>
    <w:rsid w:val="00AA3928"/>
    <w:rsid w:val="00AA3A7C"/>
    <w:rsid w:val="00AA474B"/>
    <w:rsid w:val="00AA53FF"/>
    <w:rsid w:val="00AA5942"/>
    <w:rsid w:val="00AA5D20"/>
    <w:rsid w:val="00AA63CA"/>
    <w:rsid w:val="00AA6515"/>
    <w:rsid w:val="00AA657F"/>
    <w:rsid w:val="00AA6A75"/>
    <w:rsid w:val="00AA6FA9"/>
    <w:rsid w:val="00AA716A"/>
    <w:rsid w:val="00AA76E6"/>
    <w:rsid w:val="00AA7DEE"/>
    <w:rsid w:val="00AB0536"/>
    <w:rsid w:val="00AB0D49"/>
    <w:rsid w:val="00AB13F4"/>
    <w:rsid w:val="00AB1627"/>
    <w:rsid w:val="00AB2019"/>
    <w:rsid w:val="00AB21CE"/>
    <w:rsid w:val="00AB2789"/>
    <w:rsid w:val="00AB3D1F"/>
    <w:rsid w:val="00AB3D23"/>
    <w:rsid w:val="00AB45D9"/>
    <w:rsid w:val="00AB45FE"/>
    <w:rsid w:val="00AB54DB"/>
    <w:rsid w:val="00AB5722"/>
    <w:rsid w:val="00AB5B87"/>
    <w:rsid w:val="00AB5D12"/>
    <w:rsid w:val="00AB5FD6"/>
    <w:rsid w:val="00AB6B75"/>
    <w:rsid w:val="00AB70B8"/>
    <w:rsid w:val="00AB753E"/>
    <w:rsid w:val="00AB7C0E"/>
    <w:rsid w:val="00AC0909"/>
    <w:rsid w:val="00AC1404"/>
    <w:rsid w:val="00AC293A"/>
    <w:rsid w:val="00AC2BFF"/>
    <w:rsid w:val="00AC311F"/>
    <w:rsid w:val="00AC3481"/>
    <w:rsid w:val="00AC3A51"/>
    <w:rsid w:val="00AC43F4"/>
    <w:rsid w:val="00AC55FA"/>
    <w:rsid w:val="00AC5886"/>
    <w:rsid w:val="00AC60B9"/>
    <w:rsid w:val="00AC662C"/>
    <w:rsid w:val="00AC6CC1"/>
    <w:rsid w:val="00AC72CA"/>
    <w:rsid w:val="00AD0893"/>
    <w:rsid w:val="00AD0952"/>
    <w:rsid w:val="00AD0A95"/>
    <w:rsid w:val="00AD138A"/>
    <w:rsid w:val="00AD1854"/>
    <w:rsid w:val="00AD20B3"/>
    <w:rsid w:val="00AD2442"/>
    <w:rsid w:val="00AD30E3"/>
    <w:rsid w:val="00AD3671"/>
    <w:rsid w:val="00AD3780"/>
    <w:rsid w:val="00AD3E69"/>
    <w:rsid w:val="00AD3FA7"/>
    <w:rsid w:val="00AD4787"/>
    <w:rsid w:val="00AD48F3"/>
    <w:rsid w:val="00AD4CCA"/>
    <w:rsid w:val="00AD4D80"/>
    <w:rsid w:val="00AD4DBB"/>
    <w:rsid w:val="00AD4EFD"/>
    <w:rsid w:val="00AD54F8"/>
    <w:rsid w:val="00AD557F"/>
    <w:rsid w:val="00AD5FD4"/>
    <w:rsid w:val="00AD61F9"/>
    <w:rsid w:val="00AD6837"/>
    <w:rsid w:val="00AD69F8"/>
    <w:rsid w:val="00AD6A18"/>
    <w:rsid w:val="00AD6B4C"/>
    <w:rsid w:val="00AD6CE9"/>
    <w:rsid w:val="00AD6D9D"/>
    <w:rsid w:val="00AD6EF8"/>
    <w:rsid w:val="00AD6EFC"/>
    <w:rsid w:val="00AD6FAA"/>
    <w:rsid w:val="00AD74BA"/>
    <w:rsid w:val="00AE032D"/>
    <w:rsid w:val="00AE05CE"/>
    <w:rsid w:val="00AE0A25"/>
    <w:rsid w:val="00AE0D29"/>
    <w:rsid w:val="00AE0DA0"/>
    <w:rsid w:val="00AE1694"/>
    <w:rsid w:val="00AE1995"/>
    <w:rsid w:val="00AE23F1"/>
    <w:rsid w:val="00AE25FC"/>
    <w:rsid w:val="00AE2AE2"/>
    <w:rsid w:val="00AE2B5C"/>
    <w:rsid w:val="00AE2B9B"/>
    <w:rsid w:val="00AE2C5F"/>
    <w:rsid w:val="00AE34FD"/>
    <w:rsid w:val="00AE3557"/>
    <w:rsid w:val="00AE3BAB"/>
    <w:rsid w:val="00AE3BD5"/>
    <w:rsid w:val="00AE40A2"/>
    <w:rsid w:val="00AE414C"/>
    <w:rsid w:val="00AE425A"/>
    <w:rsid w:val="00AE4C2C"/>
    <w:rsid w:val="00AE50B9"/>
    <w:rsid w:val="00AE5683"/>
    <w:rsid w:val="00AE5CFA"/>
    <w:rsid w:val="00AE5D9D"/>
    <w:rsid w:val="00AE6103"/>
    <w:rsid w:val="00AE6400"/>
    <w:rsid w:val="00AE64B2"/>
    <w:rsid w:val="00AE6731"/>
    <w:rsid w:val="00AE6E6A"/>
    <w:rsid w:val="00AE6EBD"/>
    <w:rsid w:val="00AE7163"/>
    <w:rsid w:val="00AE7468"/>
    <w:rsid w:val="00AE7C30"/>
    <w:rsid w:val="00AF01C1"/>
    <w:rsid w:val="00AF111C"/>
    <w:rsid w:val="00AF21C2"/>
    <w:rsid w:val="00AF2298"/>
    <w:rsid w:val="00AF2E8A"/>
    <w:rsid w:val="00AF2FA6"/>
    <w:rsid w:val="00AF2FD6"/>
    <w:rsid w:val="00AF3256"/>
    <w:rsid w:val="00AF3BCD"/>
    <w:rsid w:val="00AF3EA9"/>
    <w:rsid w:val="00AF40E1"/>
    <w:rsid w:val="00AF4AC3"/>
    <w:rsid w:val="00AF4E52"/>
    <w:rsid w:val="00AF5AB5"/>
    <w:rsid w:val="00AF63A0"/>
    <w:rsid w:val="00AF6568"/>
    <w:rsid w:val="00AF662F"/>
    <w:rsid w:val="00AF6723"/>
    <w:rsid w:val="00AF6D11"/>
    <w:rsid w:val="00AF6DDA"/>
    <w:rsid w:val="00AF6F36"/>
    <w:rsid w:val="00AF7288"/>
    <w:rsid w:val="00AF7DC3"/>
    <w:rsid w:val="00B0038F"/>
    <w:rsid w:val="00B003B6"/>
    <w:rsid w:val="00B0072C"/>
    <w:rsid w:val="00B007D3"/>
    <w:rsid w:val="00B021CA"/>
    <w:rsid w:val="00B02C20"/>
    <w:rsid w:val="00B02E0D"/>
    <w:rsid w:val="00B0339B"/>
    <w:rsid w:val="00B03855"/>
    <w:rsid w:val="00B0419B"/>
    <w:rsid w:val="00B044E8"/>
    <w:rsid w:val="00B0456E"/>
    <w:rsid w:val="00B058C8"/>
    <w:rsid w:val="00B05B15"/>
    <w:rsid w:val="00B06A5B"/>
    <w:rsid w:val="00B06D43"/>
    <w:rsid w:val="00B0709C"/>
    <w:rsid w:val="00B07231"/>
    <w:rsid w:val="00B07504"/>
    <w:rsid w:val="00B07598"/>
    <w:rsid w:val="00B075AF"/>
    <w:rsid w:val="00B10591"/>
    <w:rsid w:val="00B10862"/>
    <w:rsid w:val="00B11128"/>
    <w:rsid w:val="00B1163F"/>
    <w:rsid w:val="00B11BFB"/>
    <w:rsid w:val="00B11C45"/>
    <w:rsid w:val="00B121CA"/>
    <w:rsid w:val="00B1225E"/>
    <w:rsid w:val="00B12347"/>
    <w:rsid w:val="00B1251C"/>
    <w:rsid w:val="00B128E3"/>
    <w:rsid w:val="00B12BE7"/>
    <w:rsid w:val="00B135DC"/>
    <w:rsid w:val="00B1367C"/>
    <w:rsid w:val="00B139AF"/>
    <w:rsid w:val="00B144F2"/>
    <w:rsid w:val="00B14EFB"/>
    <w:rsid w:val="00B15433"/>
    <w:rsid w:val="00B15945"/>
    <w:rsid w:val="00B1740C"/>
    <w:rsid w:val="00B174AF"/>
    <w:rsid w:val="00B1763B"/>
    <w:rsid w:val="00B17991"/>
    <w:rsid w:val="00B17F52"/>
    <w:rsid w:val="00B20826"/>
    <w:rsid w:val="00B20AE9"/>
    <w:rsid w:val="00B213E0"/>
    <w:rsid w:val="00B217B1"/>
    <w:rsid w:val="00B2182F"/>
    <w:rsid w:val="00B22022"/>
    <w:rsid w:val="00B22249"/>
    <w:rsid w:val="00B2254E"/>
    <w:rsid w:val="00B23389"/>
    <w:rsid w:val="00B23804"/>
    <w:rsid w:val="00B241BF"/>
    <w:rsid w:val="00B24260"/>
    <w:rsid w:val="00B24615"/>
    <w:rsid w:val="00B2464F"/>
    <w:rsid w:val="00B24FEE"/>
    <w:rsid w:val="00B25B65"/>
    <w:rsid w:val="00B26891"/>
    <w:rsid w:val="00B26A01"/>
    <w:rsid w:val="00B26D25"/>
    <w:rsid w:val="00B278C7"/>
    <w:rsid w:val="00B27DA0"/>
    <w:rsid w:val="00B300B7"/>
    <w:rsid w:val="00B30903"/>
    <w:rsid w:val="00B3095C"/>
    <w:rsid w:val="00B3135A"/>
    <w:rsid w:val="00B3136A"/>
    <w:rsid w:val="00B31F53"/>
    <w:rsid w:val="00B32386"/>
    <w:rsid w:val="00B3258C"/>
    <w:rsid w:val="00B32A62"/>
    <w:rsid w:val="00B331ED"/>
    <w:rsid w:val="00B33AAF"/>
    <w:rsid w:val="00B34094"/>
    <w:rsid w:val="00B340B1"/>
    <w:rsid w:val="00B340DE"/>
    <w:rsid w:val="00B34C89"/>
    <w:rsid w:val="00B34F9C"/>
    <w:rsid w:val="00B356F4"/>
    <w:rsid w:val="00B35C37"/>
    <w:rsid w:val="00B362FA"/>
    <w:rsid w:val="00B36709"/>
    <w:rsid w:val="00B36E33"/>
    <w:rsid w:val="00B37637"/>
    <w:rsid w:val="00B376C4"/>
    <w:rsid w:val="00B37C6B"/>
    <w:rsid w:val="00B40C43"/>
    <w:rsid w:val="00B40D69"/>
    <w:rsid w:val="00B40E5C"/>
    <w:rsid w:val="00B41096"/>
    <w:rsid w:val="00B41100"/>
    <w:rsid w:val="00B419BC"/>
    <w:rsid w:val="00B41A5E"/>
    <w:rsid w:val="00B41E80"/>
    <w:rsid w:val="00B42691"/>
    <w:rsid w:val="00B42D2F"/>
    <w:rsid w:val="00B42F62"/>
    <w:rsid w:val="00B43139"/>
    <w:rsid w:val="00B4471A"/>
    <w:rsid w:val="00B451B0"/>
    <w:rsid w:val="00B4591F"/>
    <w:rsid w:val="00B46ABF"/>
    <w:rsid w:val="00B47D98"/>
    <w:rsid w:val="00B47DF0"/>
    <w:rsid w:val="00B50776"/>
    <w:rsid w:val="00B50E7C"/>
    <w:rsid w:val="00B50F1F"/>
    <w:rsid w:val="00B5151E"/>
    <w:rsid w:val="00B515FD"/>
    <w:rsid w:val="00B52490"/>
    <w:rsid w:val="00B52853"/>
    <w:rsid w:val="00B52880"/>
    <w:rsid w:val="00B52F5F"/>
    <w:rsid w:val="00B53171"/>
    <w:rsid w:val="00B531AB"/>
    <w:rsid w:val="00B53312"/>
    <w:rsid w:val="00B53C8B"/>
    <w:rsid w:val="00B544EF"/>
    <w:rsid w:val="00B55399"/>
    <w:rsid w:val="00B557F1"/>
    <w:rsid w:val="00B5592D"/>
    <w:rsid w:val="00B55FC7"/>
    <w:rsid w:val="00B56293"/>
    <w:rsid w:val="00B564A9"/>
    <w:rsid w:val="00B56913"/>
    <w:rsid w:val="00B56E18"/>
    <w:rsid w:val="00B57264"/>
    <w:rsid w:val="00B57DC5"/>
    <w:rsid w:val="00B609C1"/>
    <w:rsid w:val="00B60F5E"/>
    <w:rsid w:val="00B618F7"/>
    <w:rsid w:val="00B61A7B"/>
    <w:rsid w:val="00B6265F"/>
    <w:rsid w:val="00B63047"/>
    <w:rsid w:val="00B6307D"/>
    <w:rsid w:val="00B630D3"/>
    <w:rsid w:val="00B631BE"/>
    <w:rsid w:val="00B635E8"/>
    <w:rsid w:val="00B6373B"/>
    <w:rsid w:val="00B63B64"/>
    <w:rsid w:val="00B64166"/>
    <w:rsid w:val="00B64D58"/>
    <w:rsid w:val="00B64F0D"/>
    <w:rsid w:val="00B65352"/>
    <w:rsid w:val="00B655F2"/>
    <w:rsid w:val="00B65EF7"/>
    <w:rsid w:val="00B6609C"/>
    <w:rsid w:val="00B661BB"/>
    <w:rsid w:val="00B6653A"/>
    <w:rsid w:val="00B66E1C"/>
    <w:rsid w:val="00B66FEA"/>
    <w:rsid w:val="00B675B0"/>
    <w:rsid w:val="00B67B4E"/>
    <w:rsid w:val="00B67BBD"/>
    <w:rsid w:val="00B70210"/>
    <w:rsid w:val="00B7091C"/>
    <w:rsid w:val="00B70EB2"/>
    <w:rsid w:val="00B716CE"/>
    <w:rsid w:val="00B7173C"/>
    <w:rsid w:val="00B71AC9"/>
    <w:rsid w:val="00B71B54"/>
    <w:rsid w:val="00B71BC2"/>
    <w:rsid w:val="00B71EE8"/>
    <w:rsid w:val="00B71F54"/>
    <w:rsid w:val="00B71F87"/>
    <w:rsid w:val="00B74546"/>
    <w:rsid w:val="00B7484C"/>
    <w:rsid w:val="00B74B48"/>
    <w:rsid w:val="00B75168"/>
    <w:rsid w:val="00B75589"/>
    <w:rsid w:val="00B756C3"/>
    <w:rsid w:val="00B758A9"/>
    <w:rsid w:val="00B76303"/>
    <w:rsid w:val="00B76534"/>
    <w:rsid w:val="00B77237"/>
    <w:rsid w:val="00B772FB"/>
    <w:rsid w:val="00B773E7"/>
    <w:rsid w:val="00B774A9"/>
    <w:rsid w:val="00B77937"/>
    <w:rsid w:val="00B80658"/>
    <w:rsid w:val="00B8149D"/>
    <w:rsid w:val="00B818F3"/>
    <w:rsid w:val="00B82789"/>
    <w:rsid w:val="00B82D4C"/>
    <w:rsid w:val="00B83786"/>
    <w:rsid w:val="00B83D9A"/>
    <w:rsid w:val="00B83E69"/>
    <w:rsid w:val="00B848C7"/>
    <w:rsid w:val="00B8492A"/>
    <w:rsid w:val="00B84959"/>
    <w:rsid w:val="00B85033"/>
    <w:rsid w:val="00B850C7"/>
    <w:rsid w:val="00B85115"/>
    <w:rsid w:val="00B85384"/>
    <w:rsid w:val="00B85EB2"/>
    <w:rsid w:val="00B863AE"/>
    <w:rsid w:val="00B868B6"/>
    <w:rsid w:val="00B8691F"/>
    <w:rsid w:val="00B86AF2"/>
    <w:rsid w:val="00B86E41"/>
    <w:rsid w:val="00B86F60"/>
    <w:rsid w:val="00B86FF9"/>
    <w:rsid w:val="00B870DA"/>
    <w:rsid w:val="00B87C4B"/>
    <w:rsid w:val="00B9063F"/>
    <w:rsid w:val="00B90ABF"/>
    <w:rsid w:val="00B90C21"/>
    <w:rsid w:val="00B9118B"/>
    <w:rsid w:val="00B9138B"/>
    <w:rsid w:val="00B92095"/>
    <w:rsid w:val="00B9209B"/>
    <w:rsid w:val="00B928A1"/>
    <w:rsid w:val="00B92C76"/>
    <w:rsid w:val="00B92DB5"/>
    <w:rsid w:val="00B93438"/>
    <w:rsid w:val="00B94D23"/>
    <w:rsid w:val="00B95010"/>
    <w:rsid w:val="00B95327"/>
    <w:rsid w:val="00B95B2F"/>
    <w:rsid w:val="00B95E3A"/>
    <w:rsid w:val="00B969F0"/>
    <w:rsid w:val="00B96BAC"/>
    <w:rsid w:val="00B96DE1"/>
    <w:rsid w:val="00B9789E"/>
    <w:rsid w:val="00BA024F"/>
    <w:rsid w:val="00BA0DFB"/>
    <w:rsid w:val="00BA11EC"/>
    <w:rsid w:val="00BA1433"/>
    <w:rsid w:val="00BA1956"/>
    <w:rsid w:val="00BA290D"/>
    <w:rsid w:val="00BA2BD4"/>
    <w:rsid w:val="00BA3CEA"/>
    <w:rsid w:val="00BA3DC8"/>
    <w:rsid w:val="00BA3F0B"/>
    <w:rsid w:val="00BA4C71"/>
    <w:rsid w:val="00BA5430"/>
    <w:rsid w:val="00BA5775"/>
    <w:rsid w:val="00BA57B5"/>
    <w:rsid w:val="00BA6644"/>
    <w:rsid w:val="00BA693C"/>
    <w:rsid w:val="00BA6994"/>
    <w:rsid w:val="00BA705E"/>
    <w:rsid w:val="00BA72EB"/>
    <w:rsid w:val="00BA7A3E"/>
    <w:rsid w:val="00BA7ADC"/>
    <w:rsid w:val="00BB0310"/>
    <w:rsid w:val="00BB0679"/>
    <w:rsid w:val="00BB0EBD"/>
    <w:rsid w:val="00BB126A"/>
    <w:rsid w:val="00BB1462"/>
    <w:rsid w:val="00BB1D05"/>
    <w:rsid w:val="00BB2D15"/>
    <w:rsid w:val="00BB3603"/>
    <w:rsid w:val="00BB391B"/>
    <w:rsid w:val="00BB4119"/>
    <w:rsid w:val="00BB4232"/>
    <w:rsid w:val="00BB4A77"/>
    <w:rsid w:val="00BB4C72"/>
    <w:rsid w:val="00BB4FF1"/>
    <w:rsid w:val="00BB53B3"/>
    <w:rsid w:val="00BB5511"/>
    <w:rsid w:val="00BB5643"/>
    <w:rsid w:val="00BB5A1F"/>
    <w:rsid w:val="00BB5E38"/>
    <w:rsid w:val="00BB671A"/>
    <w:rsid w:val="00BB6726"/>
    <w:rsid w:val="00BB6BB1"/>
    <w:rsid w:val="00BB7A20"/>
    <w:rsid w:val="00BC0402"/>
    <w:rsid w:val="00BC088D"/>
    <w:rsid w:val="00BC0937"/>
    <w:rsid w:val="00BC1994"/>
    <w:rsid w:val="00BC21F0"/>
    <w:rsid w:val="00BC26E4"/>
    <w:rsid w:val="00BC271A"/>
    <w:rsid w:val="00BC2797"/>
    <w:rsid w:val="00BC32A0"/>
    <w:rsid w:val="00BC3AC2"/>
    <w:rsid w:val="00BC3F6B"/>
    <w:rsid w:val="00BC4164"/>
    <w:rsid w:val="00BC420F"/>
    <w:rsid w:val="00BC5116"/>
    <w:rsid w:val="00BC51BA"/>
    <w:rsid w:val="00BC51DE"/>
    <w:rsid w:val="00BC53C9"/>
    <w:rsid w:val="00BC5528"/>
    <w:rsid w:val="00BC55FD"/>
    <w:rsid w:val="00BC6F1F"/>
    <w:rsid w:val="00BC78D8"/>
    <w:rsid w:val="00BC7D12"/>
    <w:rsid w:val="00BC7F63"/>
    <w:rsid w:val="00BC7F7B"/>
    <w:rsid w:val="00BD0E27"/>
    <w:rsid w:val="00BD1E7D"/>
    <w:rsid w:val="00BD2539"/>
    <w:rsid w:val="00BD2626"/>
    <w:rsid w:val="00BD282D"/>
    <w:rsid w:val="00BD32D1"/>
    <w:rsid w:val="00BD34A1"/>
    <w:rsid w:val="00BD39A1"/>
    <w:rsid w:val="00BD3F4D"/>
    <w:rsid w:val="00BD40BE"/>
    <w:rsid w:val="00BD4B31"/>
    <w:rsid w:val="00BD4F82"/>
    <w:rsid w:val="00BD5515"/>
    <w:rsid w:val="00BD5B33"/>
    <w:rsid w:val="00BD5C97"/>
    <w:rsid w:val="00BD5DF4"/>
    <w:rsid w:val="00BD5ED2"/>
    <w:rsid w:val="00BD6372"/>
    <w:rsid w:val="00BD6FC7"/>
    <w:rsid w:val="00BD7315"/>
    <w:rsid w:val="00BD77E4"/>
    <w:rsid w:val="00BE080E"/>
    <w:rsid w:val="00BE08F6"/>
    <w:rsid w:val="00BE0D79"/>
    <w:rsid w:val="00BE1433"/>
    <w:rsid w:val="00BE1D10"/>
    <w:rsid w:val="00BE292C"/>
    <w:rsid w:val="00BE3B09"/>
    <w:rsid w:val="00BE3FBA"/>
    <w:rsid w:val="00BE54C1"/>
    <w:rsid w:val="00BE5702"/>
    <w:rsid w:val="00BE6029"/>
    <w:rsid w:val="00BE6223"/>
    <w:rsid w:val="00BE66FD"/>
    <w:rsid w:val="00BE73CF"/>
    <w:rsid w:val="00BE7A47"/>
    <w:rsid w:val="00BF013F"/>
    <w:rsid w:val="00BF0489"/>
    <w:rsid w:val="00BF1213"/>
    <w:rsid w:val="00BF1C5D"/>
    <w:rsid w:val="00BF1CE4"/>
    <w:rsid w:val="00BF1FFC"/>
    <w:rsid w:val="00BF21ED"/>
    <w:rsid w:val="00BF23EB"/>
    <w:rsid w:val="00BF292C"/>
    <w:rsid w:val="00BF2CE2"/>
    <w:rsid w:val="00BF2E01"/>
    <w:rsid w:val="00BF32C1"/>
    <w:rsid w:val="00BF34E3"/>
    <w:rsid w:val="00BF35E3"/>
    <w:rsid w:val="00BF3759"/>
    <w:rsid w:val="00BF48F3"/>
    <w:rsid w:val="00BF4933"/>
    <w:rsid w:val="00BF521C"/>
    <w:rsid w:val="00BF6132"/>
    <w:rsid w:val="00BF6241"/>
    <w:rsid w:val="00BF6754"/>
    <w:rsid w:val="00BF695C"/>
    <w:rsid w:val="00BF6AB1"/>
    <w:rsid w:val="00BF766D"/>
    <w:rsid w:val="00BF795F"/>
    <w:rsid w:val="00BF7AB0"/>
    <w:rsid w:val="00C003A7"/>
    <w:rsid w:val="00C006AC"/>
    <w:rsid w:val="00C00C31"/>
    <w:rsid w:val="00C00D7B"/>
    <w:rsid w:val="00C01351"/>
    <w:rsid w:val="00C013D3"/>
    <w:rsid w:val="00C01580"/>
    <w:rsid w:val="00C017DE"/>
    <w:rsid w:val="00C01A6C"/>
    <w:rsid w:val="00C01DBA"/>
    <w:rsid w:val="00C028EB"/>
    <w:rsid w:val="00C03998"/>
    <w:rsid w:val="00C039E9"/>
    <w:rsid w:val="00C0427D"/>
    <w:rsid w:val="00C0467F"/>
    <w:rsid w:val="00C04D3E"/>
    <w:rsid w:val="00C0528F"/>
    <w:rsid w:val="00C054DD"/>
    <w:rsid w:val="00C05642"/>
    <w:rsid w:val="00C05840"/>
    <w:rsid w:val="00C05BC0"/>
    <w:rsid w:val="00C06865"/>
    <w:rsid w:val="00C078D5"/>
    <w:rsid w:val="00C101FF"/>
    <w:rsid w:val="00C10989"/>
    <w:rsid w:val="00C109B3"/>
    <w:rsid w:val="00C10A04"/>
    <w:rsid w:val="00C10CF1"/>
    <w:rsid w:val="00C124C3"/>
    <w:rsid w:val="00C1263A"/>
    <w:rsid w:val="00C1349E"/>
    <w:rsid w:val="00C145CD"/>
    <w:rsid w:val="00C14D0E"/>
    <w:rsid w:val="00C14DFB"/>
    <w:rsid w:val="00C14F85"/>
    <w:rsid w:val="00C15400"/>
    <w:rsid w:val="00C15EB0"/>
    <w:rsid w:val="00C15FBF"/>
    <w:rsid w:val="00C16221"/>
    <w:rsid w:val="00C162CA"/>
    <w:rsid w:val="00C162E2"/>
    <w:rsid w:val="00C1688E"/>
    <w:rsid w:val="00C16ECA"/>
    <w:rsid w:val="00C16F2E"/>
    <w:rsid w:val="00C1743A"/>
    <w:rsid w:val="00C17533"/>
    <w:rsid w:val="00C175B1"/>
    <w:rsid w:val="00C176B7"/>
    <w:rsid w:val="00C178F3"/>
    <w:rsid w:val="00C200E1"/>
    <w:rsid w:val="00C2066D"/>
    <w:rsid w:val="00C20D0B"/>
    <w:rsid w:val="00C21129"/>
    <w:rsid w:val="00C212DF"/>
    <w:rsid w:val="00C2168B"/>
    <w:rsid w:val="00C21740"/>
    <w:rsid w:val="00C22571"/>
    <w:rsid w:val="00C226D9"/>
    <w:rsid w:val="00C2409F"/>
    <w:rsid w:val="00C24699"/>
    <w:rsid w:val="00C2476B"/>
    <w:rsid w:val="00C24C62"/>
    <w:rsid w:val="00C25351"/>
    <w:rsid w:val="00C25403"/>
    <w:rsid w:val="00C25455"/>
    <w:rsid w:val="00C25910"/>
    <w:rsid w:val="00C25942"/>
    <w:rsid w:val="00C25956"/>
    <w:rsid w:val="00C25C54"/>
    <w:rsid w:val="00C269C9"/>
    <w:rsid w:val="00C27026"/>
    <w:rsid w:val="00C27136"/>
    <w:rsid w:val="00C27D9D"/>
    <w:rsid w:val="00C30885"/>
    <w:rsid w:val="00C31621"/>
    <w:rsid w:val="00C31707"/>
    <w:rsid w:val="00C319C6"/>
    <w:rsid w:val="00C31A69"/>
    <w:rsid w:val="00C32852"/>
    <w:rsid w:val="00C32ADA"/>
    <w:rsid w:val="00C32D7F"/>
    <w:rsid w:val="00C32E1D"/>
    <w:rsid w:val="00C33BF0"/>
    <w:rsid w:val="00C341FE"/>
    <w:rsid w:val="00C34B86"/>
    <w:rsid w:val="00C34F24"/>
    <w:rsid w:val="00C352BE"/>
    <w:rsid w:val="00C3545D"/>
    <w:rsid w:val="00C35A8D"/>
    <w:rsid w:val="00C35BDF"/>
    <w:rsid w:val="00C371E4"/>
    <w:rsid w:val="00C379AD"/>
    <w:rsid w:val="00C37F85"/>
    <w:rsid w:val="00C4006E"/>
    <w:rsid w:val="00C40967"/>
    <w:rsid w:val="00C41013"/>
    <w:rsid w:val="00C416E0"/>
    <w:rsid w:val="00C4199C"/>
    <w:rsid w:val="00C41AD3"/>
    <w:rsid w:val="00C427B3"/>
    <w:rsid w:val="00C43614"/>
    <w:rsid w:val="00C43742"/>
    <w:rsid w:val="00C43EDA"/>
    <w:rsid w:val="00C43F6D"/>
    <w:rsid w:val="00C44484"/>
    <w:rsid w:val="00C45F71"/>
    <w:rsid w:val="00C46339"/>
    <w:rsid w:val="00C4646D"/>
    <w:rsid w:val="00C4701D"/>
    <w:rsid w:val="00C47994"/>
    <w:rsid w:val="00C47AF4"/>
    <w:rsid w:val="00C5003F"/>
    <w:rsid w:val="00C502EC"/>
    <w:rsid w:val="00C5056D"/>
    <w:rsid w:val="00C50872"/>
    <w:rsid w:val="00C51734"/>
    <w:rsid w:val="00C51FBB"/>
    <w:rsid w:val="00C524E5"/>
    <w:rsid w:val="00C52D3B"/>
    <w:rsid w:val="00C52DBA"/>
    <w:rsid w:val="00C52FBB"/>
    <w:rsid w:val="00C530EB"/>
    <w:rsid w:val="00C5317E"/>
    <w:rsid w:val="00C53B71"/>
    <w:rsid w:val="00C552B2"/>
    <w:rsid w:val="00C552F2"/>
    <w:rsid w:val="00C554E4"/>
    <w:rsid w:val="00C557CA"/>
    <w:rsid w:val="00C55E74"/>
    <w:rsid w:val="00C564F8"/>
    <w:rsid w:val="00C56C2A"/>
    <w:rsid w:val="00C57158"/>
    <w:rsid w:val="00C57243"/>
    <w:rsid w:val="00C5724F"/>
    <w:rsid w:val="00C60059"/>
    <w:rsid w:val="00C60B9B"/>
    <w:rsid w:val="00C61107"/>
    <w:rsid w:val="00C6167F"/>
    <w:rsid w:val="00C62149"/>
    <w:rsid w:val="00C6219F"/>
    <w:rsid w:val="00C621D5"/>
    <w:rsid w:val="00C62441"/>
    <w:rsid w:val="00C625F6"/>
    <w:rsid w:val="00C626FB"/>
    <w:rsid w:val="00C62976"/>
    <w:rsid w:val="00C62D0A"/>
    <w:rsid w:val="00C62EEE"/>
    <w:rsid w:val="00C63953"/>
    <w:rsid w:val="00C63F24"/>
    <w:rsid w:val="00C64260"/>
    <w:rsid w:val="00C6436F"/>
    <w:rsid w:val="00C6446F"/>
    <w:rsid w:val="00C646F6"/>
    <w:rsid w:val="00C6481F"/>
    <w:rsid w:val="00C64A13"/>
    <w:rsid w:val="00C6546A"/>
    <w:rsid w:val="00C65FFC"/>
    <w:rsid w:val="00C662F7"/>
    <w:rsid w:val="00C66AD9"/>
    <w:rsid w:val="00C66D2A"/>
    <w:rsid w:val="00C6700F"/>
    <w:rsid w:val="00C670C5"/>
    <w:rsid w:val="00C704CA"/>
    <w:rsid w:val="00C70BD1"/>
    <w:rsid w:val="00C718A3"/>
    <w:rsid w:val="00C71EEE"/>
    <w:rsid w:val="00C72BE9"/>
    <w:rsid w:val="00C72DB9"/>
    <w:rsid w:val="00C72E07"/>
    <w:rsid w:val="00C73188"/>
    <w:rsid w:val="00C739DD"/>
    <w:rsid w:val="00C7444B"/>
    <w:rsid w:val="00C74728"/>
    <w:rsid w:val="00C74DB0"/>
    <w:rsid w:val="00C74DF8"/>
    <w:rsid w:val="00C74FE1"/>
    <w:rsid w:val="00C75068"/>
    <w:rsid w:val="00C75264"/>
    <w:rsid w:val="00C752C9"/>
    <w:rsid w:val="00C75561"/>
    <w:rsid w:val="00C7593D"/>
    <w:rsid w:val="00C75A3E"/>
    <w:rsid w:val="00C7615A"/>
    <w:rsid w:val="00C76258"/>
    <w:rsid w:val="00C77169"/>
    <w:rsid w:val="00C771D6"/>
    <w:rsid w:val="00C77270"/>
    <w:rsid w:val="00C77878"/>
    <w:rsid w:val="00C77FA4"/>
    <w:rsid w:val="00C8093B"/>
    <w:rsid w:val="00C80B78"/>
    <w:rsid w:val="00C80D5A"/>
    <w:rsid w:val="00C81314"/>
    <w:rsid w:val="00C814A2"/>
    <w:rsid w:val="00C81544"/>
    <w:rsid w:val="00C815EC"/>
    <w:rsid w:val="00C82067"/>
    <w:rsid w:val="00C82334"/>
    <w:rsid w:val="00C8242E"/>
    <w:rsid w:val="00C82B92"/>
    <w:rsid w:val="00C82CDF"/>
    <w:rsid w:val="00C836CE"/>
    <w:rsid w:val="00C84038"/>
    <w:rsid w:val="00C84388"/>
    <w:rsid w:val="00C8450D"/>
    <w:rsid w:val="00C87487"/>
    <w:rsid w:val="00C91A44"/>
    <w:rsid w:val="00C92761"/>
    <w:rsid w:val="00C92BE2"/>
    <w:rsid w:val="00C92D02"/>
    <w:rsid w:val="00C92D8B"/>
    <w:rsid w:val="00C93678"/>
    <w:rsid w:val="00C94C74"/>
    <w:rsid w:val="00C952BC"/>
    <w:rsid w:val="00C952C0"/>
    <w:rsid w:val="00C95866"/>
    <w:rsid w:val="00C964B2"/>
    <w:rsid w:val="00C96C23"/>
    <w:rsid w:val="00C97788"/>
    <w:rsid w:val="00C97B7B"/>
    <w:rsid w:val="00C97C11"/>
    <w:rsid w:val="00C97F8A"/>
    <w:rsid w:val="00CA055F"/>
    <w:rsid w:val="00CA0E34"/>
    <w:rsid w:val="00CA1406"/>
    <w:rsid w:val="00CA178D"/>
    <w:rsid w:val="00CA207F"/>
    <w:rsid w:val="00CA28E5"/>
    <w:rsid w:val="00CA297D"/>
    <w:rsid w:val="00CA2B56"/>
    <w:rsid w:val="00CA317E"/>
    <w:rsid w:val="00CA389F"/>
    <w:rsid w:val="00CA3C0F"/>
    <w:rsid w:val="00CA3E8B"/>
    <w:rsid w:val="00CA4336"/>
    <w:rsid w:val="00CA467A"/>
    <w:rsid w:val="00CA4E1A"/>
    <w:rsid w:val="00CA4F36"/>
    <w:rsid w:val="00CA5383"/>
    <w:rsid w:val="00CA55C4"/>
    <w:rsid w:val="00CA58A2"/>
    <w:rsid w:val="00CA5C6A"/>
    <w:rsid w:val="00CA620D"/>
    <w:rsid w:val="00CA6381"/>
    <w:rsid w:val="00CA6DF2"/>
    <w:rsid w:val="00CA706A"/>
    <w:rsid w:val="00CA73BE"/>
    <w:rsid w:val="00CA7DCF"/>
    <w:rsid w:val="00CB08F4"/>
    <w:rsid w:val="00CB0DCC"/>
    <w:rsid w:val="00CB1232"/>
    <w:rsid w:val="00CB1772"/>
    <w:rsid w:val="00CB1E7D"/>
    <w:rsid w:val="00CB228B"/>
    <w:rsid w:val="00CB2778"/>
    <w:rsid w:val="00CB2798"/>
    <w:rsid w:val="00CB3872"/>
    <w:rsid w:val="00CB410F"/>
    <w:rsid w:val="00CB45C5"/>
    <w:rsid w:val="00CB462C"/>
    <w:rsid w:val="00CB4763"/>
    <w:rsid w:val="00CB4825"/>
    <w:rsid w:val="00CB5213"/>
    <w:rsid w:val="00CB5EE1"/>
    <w:rsid w:val="00CB5FF4"/>
    <w:rsid w:val="00CB610B"/>
    <w:rsid w:val="00CB6341"/>
    <w:rsid w:val="00CB6375"/>
    <w:rsid w:val="00CB6604"/>
    <w:rsid w:val="00CB6693"/>
    <w:rsid w:val="00CB6B2A"/>
    <w:rsid w:val="00CB7DF9"/>
    <w:rsid w:val="00CB7EA9"/>
    <w:rsid w:val="00CC00CD"/>
    <w:rsid w:val="00CC0783"/>
    <w:rsid w:val="00CC098E"/>
    <w:rsid w:val="00CC09EC"/>
    <w:rsid w:val="00CC10F2"/>
    <w:rsid w:val="00CC197A"/>
    <w:rsid w:val="00CC1D7C"/>
    <w:rsid w:val="00CC347C"/>
    <w:rsid w:val="00CC3C29"/>
    <w:rsid w:val="00CC40E5"/>
    <w:rsid w:val="00CC49A6"/>
    <w:rsid w:val="00CC4CDB"/>
    <w:rsid w:val="00CC5F49"/>
    <w:rsid w:val="00CC63F3"/>
    <w:rsid w:val="00CC7720"/>
    <w:rsid w:val="00CD01A0"/>
    <w:rsid w:val="00CD0EFA"/>
    <w:rsid w:val="00CD1E8F"/>
    <w:rsid w:val="00CD305F"/>
    <w:rsid w:val="00CD332A"/>
    <w:rsid w:val="00CD3FC5"/>
    <w:rsid w:val="00CD46BD"/>
    <w:rsid w:val="00CD46E8"/>
    <w:rsid w:val="00CD4C88"/>
    <w:rsid w:val="00CD515E"/>
    <w:rsid w:val="00CD5748"/>
    <w:rsid w:val="00CD593D"/>
    <w:rsid w:val="00CD5CEA"/>
    <w:rsid w:val="00CD5D4C"/>
    <w:rsid w:val="00CD6B05"/>
    <w:rsid w:val="00CD6CFE"/>
    <w:rsid w:val="00CE0437"/>
    <w:rsid w:val="00CE0738"/>
    <w:rsid w:val="00CE0D51"/>
    <w:rsid w:val="00CE1690"/>
    <w:rsid w:val="00CE1A08"/>
    <w:rsid w:val="00CE1E7F"/>
    <w:rsid w:val="00CE261A"/>
    <w:rsid w:val="00CE2D94"/>
    <w:rsid w:val="00CE3371"/>
    <w:rsid w:val="00CE3411"/>
    <w:rsid w:val="00CE3622"/>
    <w:rsid w:val="00CE3762"/>
    <w:rsid w:val="00CE37B3"/>
    <w:rsid w:val="00CE4DB2"/>
    <w:rsid w:val="00CE5522"/>
    <w:rsid w:val="00CE58AE"/>
    <w:rsid w:val="00CE5914"/>
    <w:rsid w:val="00CE5AD4"/>
    <w:rsid w:val="00CE6B29"/>
    <w:rsid w:val="00CE6F0E"/>
    <w:rsid w:val="00CE702B"/>
    <w:rsid w:val="00CE79F8"/>
    <w:rsid w:val="00CE7C95"/>
    <w:rsid w:val="00CF0004"/>
    <w:rsid w:val="00CF0F6C"/>
    <w:rsid w:val="00CF114F"/>
    <w:rsid w:val="00CF12C2"/>
    <w:rsid w:val="00CF255A"/>
    <w:rsid w:val="00CF27F9"/>
    <w:rsid w:val="00CF29B8"/>
    <w:rsid w:val="00CF2BA3"/>
    <w:rsid w:val="00CF2FA5"/>
    <w:rsid w:val="00CF41A4"/>
    <w:rsid w:val="00CF41B3"/>
    <w:rsid w:val="00CF4F8F"/>
    <w:rsid w:val="00CF5160"/>
    <w:rsid w:val="00CF5E37"/>
    <w:rsid w:val="00CF622D"/>
    <w:rsid w:val="00CF6B0A"/>
    <w:rsid w:val="00CF6E1D"/>
    <w:rsid w:val="00CF79CE"/>
    <w:rsid w:val="00D00075"/>
    <w:rsid w:val="00D00ED8"/>
    <w:rsid w:val="00D0131A"/>
    <w:rsid w:val="00D013C1"/>
    <w:rsid w:val="00D0155F"/>
    <w:rsid w:val="00D01A2C"/>
    <w:rsid w:val="00D027AE"/>
    <w:rsid w:val="00D02BA2"/>
    <w:rsid w:val="00D03918"/>
    <w:rsid w:val="00D03B05"/>
    <w:rsid w:val="00D04592"/>
    <w:rsid w:val="00D04EF4"/>
    <w:rsid w:val="00D054C4"/>
    <w:rsid w:val="00D0558D"/>
    <w:rsid w:val="00D0564B"/>
    <w:rsid w:val="00D05807"/>
    <w:rsid w:val="00D05A0D"/>
    <w:rsid w:val="00D06543"/>
    <w:rsid w:val="00D06966"/>
    <w:rsid w:val="00D101F6"/>
    <w:rsid w:val="00D10EDC"/>
    <w:rsid w:val="00D11345"/>
    <w:rsid w:val="00D1153E"/>
    <w:rsid w:val="00D11867"/>
    <w:rsid w:val="00D11A21"/>
    <w:rsid w:val="00D1275D"/>
    <w:rsid w:val="00D12D68"/>
    <w:rsid w:val="00D13A0F"/>
    <w:rsid w:val="00D13D59"/>
    <w:rsid w:val="00D13EEC"/>
    <w:rsid w:val="00D13F96"/>
    <w:rsid w:val="00D149EA"/>
    <w:rsid w:val="00D1509B"/>
    <w:rsid w:val="00D151A9"/>
    <w:rsid w:val="00D152FC"/>
    <w:rsid w:val="00D15F3A"/>
    <w:rsid w:val="00D16192"/>
    <w:rsid w:val="00D17B32"/>
    <w:rsid w:val="00D17FFA"/>
    <w:rsid w:val="00D208BF"/>
    <w:rsid w:val="00D221C4"/>
    <w:rsid w:val="00D22DE0"/>
    <w:rsid w:val="00D231E1"/>
    <w:rsid w:val="00D235A4"/>
    <w:rsid w:val="00D23E08"/>
    <w:rsid w:val="00D2453A"/>
    <w:rsid w:val="00D2454B"/>
    <w:rsid w:val="00D24953"/>
    <w:rsid w:val="00D24C90"/>
    <w:rsid w:val="00D25A24"/>
    <w:rsid w:val="00D25B2B"/>
    <w:rsid w:val="00D262ED"/>
    <w:rsid w:val="00D26C52"/>
    <w:rsid w:val="00D26F04"/>
    <w:rsid w:val="00D277D0"/>
    <w:rsid w:val="00D2795C"/>
    <w:rsid w:val="00D30020"/>
    <w:rsid w:val="00D30D4E"/>
    <w:rsid w:val="00D30E36"/>
    <w:rsid w:val="00D30F9A"/>
    <w:rsid w:val="00D3194C"/>
    <w:rsid w:val="00D31A6A"/>
    <w:rsid w:val="00D31A8A"/>
    <w:rsid w:val="00D31C6A"/>
    <w:rsid w:val="00D32062"/>
    <w:rsid w:val="00D3250B"/>
    <w:rsid w:val="00D32F1D"/>
    <w:rsid w:val="00D32FAE"/>
    <w:rsid w:val="00D33492"/>
    <w:rsid w:val="00D33A3A"/>
    <w:rsid w:val="00D33D4C"/>
    <w:rsid w:val="00D34418"/>
    <w:rsid w:val="00D34514"/>
    <w:rsid w:val="00D34534"/>
    <w:rsid w:val="00D34980"/>
    <w:rsid w:val="00D351E1"/>
    <w:rsid w:val="00D3526B"/>
    <w:rsid w:val="00D35A20"/>
    <w:rsid w:val="00D35D47"/>
    <w:rsid w:val="00D3640C"/>
    <w:rsid w:val="00D36EF8"/>
    <w:rsid w:val="00D378B8"/>
    <w:rsid w:val="00D37B88"/>
    <w:rsid w:val="00D37D09"/>
    <w:rsid w:val="00D4014B"/>
    <w:rsid w:val="00D40304"/>
    <w:rsid w:val="00D40BC9"/>
    <w:rsid w:val="00D40C82"/>
    <w:rsid w:val="00D41336"/>
    <w:rsid w:val="00D41521"/>
    <w:rsid w:val="00D41A55"/>
    <w:rsid w:val="00D41E38"/>
    <w:rsid w:val="00D421BB"/>
    <w:rsid w:val="00D43EF4"/>
    <w:rsid w:val="00D4426F"/>
    <w:rsid w:val="00D44279"/>
    <w:rsid w:val="00D442ED"/>
    <w:rsid w:val="00D4461E"/>
    <w:rsid w:val="00D44A31"/>
    <w:rsid w:val="00D44B0C"/>
    <w:rsid w:val="00D44F86"/>
    <w:rsid w:val="00D45C5C"/>
    <w:rsid w:val="00D4680A"/>
    <w:rsid w:val="00D4693F"/>
    <w:rsid w:val="00D46E19"/>
    <w:rsid w:val="00D46E5A"/>
    <w:rsid w:val="00D47359"/>
    <w:rsid w:val="00D504F4"/>
    <w:rsid w:val="00D509ED"/>
    <w:rsid w:val="00D50A0D"/>
    <w:rsid w:val="00D50BC4"/>
    <w:rsid w:val="00D50CF3"/>
    <w:rsid w:val="00D50E88"/>
    <w:rsid w:val="00D51252"/>
    <w:rsid w:val="00D5139F"/>
    <w:rsid w:val="00D517E7"/>
    <w:rsid w:val="00D520B5"/>
    <w:rsid w:val="00D52454"/>
    <w:rsid w:val="00D53129"/>
    <w:rsid w:val="00D533E5"/>
    <w:rsid w:val="00D5357F"/>
    <w:rsid w:val="00D53615"/>
    <w:rsid w:val="00D53D19"/>
    <w:rsid w:val="00D54353"/>
    <w:rsid w:val="00D543D7"/>
    <w:rsid w:val="00D54599"/>
    <w:rsid w:val="00D54793"/>
    <w:rsid w:val="00D54EFA"/>
    <w:rsid w:val="00D5508A"/>
    <w:rsid w:val="00D558F4"/>
    <w:rsid w:val="00D55D99"/>
    <w:rsid w:val="00D5675C"/>
    <w:rsid w:val="00D56912"/>
    <w:rsid w:val="00D57099"/>
    <w:rsid w:val="00D600DE"/>
    <w:rsid w:val="00D604DF"/>
    <w:rsid w:val="00D60AA6"/>
    <w:rsid w:val="00D61640"/>
    <w:rsid w:val="00D61854"/>
    <w:rsid w:val="00D61F05"/>
    <w:rsid w:val="00D62143"/>
    <w:rsid w:val="00D62B8E"/>
    <w:rsid w:val="00D62CB4"/>
    <w:rsid w:val="00D62DA5"/>
    <w:rsid w:val="00D62F03"/>
    <w:rsid w:val="00D635BC"/>
    <w:rsid w:val="00D64B09"/>
    <w:rsid w:val="00D64EB5"/>
    <w:rsid w:val="00D652CA"/>
    <w:rsid w:val="00D652D0"/>
    <w:rsid w:val="00D6558F"/>
    <w:rsid w:val="00D65AFD"/>
    <w:rsid w:val="00D666FC"/>
    <w:rsid w:val="00D66A6A"/>
    <w:rsid w:val="00D67AEC"/>
    <w:rsid w:val="00D67ECA"/>
    <w:rsid w:val="00D71FE9"/>
    <w:rsid w:val="00D72031"/>
    <w:rsid w:val="00D72165"/>
    <w:rsid w:val="00D72428"/>
    <w:rsid w:val="00D72C6F"/>
    <w:rsid w:val="00D72FA6"/>
    <w:rsid w:val="00D734CA"/>
    <w:rsid w:val="00D73E6F"/>
    <w:rsid w:val="00D73E77"/>
    <w:rsid w:val="00D740D9"/>
    <w:rsid w:val="00D74138"/>
    <w:rsid w:val="00D7414A"/>
    <w:rsid w:val="00D74AA9"/>
    <w:rsid w:val="00D76177"/>
    <w:rsid w:val="00D76209"/>
    <w:rsid w:val="00D767EF"/>
    <w:rsid w:val="00D77333"/>
    <w:rsid w:val="00D8056C"/>
    <w:rsid w:val="00D80BB0"/>
    <w:rsid w:val="00D81C52"/>
    <w:rsid w:val="00D8201E"/>
    <w:rsid w:val="00D8258B"/>
    <w:rsid w:val="00D83860"/>
    <w:rsid w:val="00D839E0"/>
    <w:rsid w:val="00D840F5"/>
    <w:rsid w:val="00D8500D"/>
    <w:rsid w:val="00D852CB"/>
    <w:rsid w:val="00D85386"/>
    <w:rsid w:val="00D85877"/>
    <w:rsid w:val="00D85989"/>
    <w:rsid w:val="00D860B3"/>
    <w:rsid w:val="00D86D4D"/>
    <w:rsid w:val="00D876A8"/>
    <w:rsid w:val="00D876B1"/>
    <w:rsid w:val="00D87C20"/>
    <w:rsid w:val="00D900A4"/>
    <w:rsid w:val="00D900E5"/>
    <w:rsid w:val="00D906C8"/>
    <w:rsid w:val="00D9079F"/>
    <w:rsid w:val="00D908C0"/>
    <w:rsid w:val="00D90A42"/>
    <w:rsid w:val="00D90D82"/>
    <w:rsid w:val="00D90F33"/>
    <w:rsid w:val="00D91777"/>
    <w:rsid w:val="00D92364"/>
    <w:rsid w:val="00D923FF"/>
    <w:rsid w:val="00D925AD"/>
    <w:rsid w:val="00D9282A"/>
    <w:rsid w:val="00D92A11"/>
    <w:rsid w:val="00D92FF5"/>
    <w:rsid w:val="00D93040"/>
    <w:rsid w:val="00D93194"/>
    <w:rsid w:val="00D9351F"/>
    <w:rsid w:val="00D9383A"/>
    <w:rsid w:val="00D93D32"/>
    <w:rsid w:val="00D93DD0"/>
    <w:rsid w:val="00D9400B"/>
    <w:rsid w:val="00D94A32"/>
    <w:rsid w:val="00D94ECC"/>
    <w:rsid w:val="00D94F5B"/>
    <w:rsid w:val="00D95661"/>
    <w:rsid w:val="00D95B8C"/>
    <w:rsid w:val="00D95F9F"/>
    <w:rsid w:val="00D9648A"/>
    <w:rsid w:val="00D969E9"/>
    <w:rsid w:val="00D9764E"/>
    <w:rsid w:val="00D97988"/>
    <w:rsid w:val="00D97ACF"/>
    <w:rsid w:val="00DA0173"/>
    <w:rsid w:val="00DA03FC"/>
    <w:rsid w:val="00DA0623"/>
    <w:rsid w:val="00DA1457"/>
    <w:rsid w:val="00DA1D68"/>
    <w:rsid w:val="00DA25D9"/>
    <w:rsid w:val="00DA27E6"/>
    <w:rsid w:val="00DA3397"/>
    <w:rsid w:val="00DA3CC2"/>
    <w:rsid w:val="00DA424F"/>
    <w:rsid w:val="00DA54CD"/>
    <w:rsid w:val="00DA6074"/>
    <w:rsid w:val="00DA6421"/>
    <w:rsid w:val="00DA64B8"/>
    <w:rsid w:val="00DA6539"/>
    <w:rsid w:val="00DA6685"/>
    <w:rsid w:val="00DA705D"/>
    <w:rsid w:val="00DA70D3"/>
    <w:rsid w:val="00DA7215"/>
    <w:rsid w:val="00DA721B"/>
    <w:rsid w:val="00DA73F9"/>
    <w:rsid w:val="00DA7D67"/>
    <w:rsid w:val="00DA7D81"/>
    <w:rsid w:val="00DB06BD"/>
    <w:rsid w:val="00DB0CC0"/>
    <w:rsid w:val="00DB0E25"/>
    <w:rsid w:val="00DB1DA2"/>
    <w:rsid w:val="00DB1E39"/>
    <w:rsid w:val="00DB1F2D"/>
    <w:rsid w:val="00DB248D"/>
    <w:rsid w:val="00DB2925"/>
    <w:rsid w:val="00DB2E4E"/>
    <w:rsid w:val="00DB30D9"/>
    <w:rsid w:val="00DB3EB2"/>
    <w:rsid w:val="00DB3F2B"/>
    <w:rsid w:val="00DB4737"/>
    <w:rsid w:val="00DB5268"/>
    <w:rsid w:val="00DB52D5"/>
    <w:rsid w:val="00DB5423"/>
    <w:rsid w:val="00DB5B2F"/>
    <w:rsid w:val="00DB6C54"/>
    <w:rsid w:val="00DB7002"/>
    <w:rsid w:val="00DB70CD"/>
    <w:rsid w:val="00DB71BC"/>
    <w:rsid w:val="00DB72D7"/>
    <w:rsid w:val="00DB73C5"/>
    <w:rsid w:val="00DB747C"/>
    <w:rsid w:val="00DB7516"/>
    <w:rsid w:val="00DB76E7"/>
    <w:rsid w:val="00DB7DE2"/>
    <w:rsid w:val="00DC094D"/>
    <w:rsid w:val="00DC0AF5"/>
    <w:rsid w:val="00DC167E"/>
    <w:rsid w:val="00DC16D2"/>
    <w:rsid w:val="00DC19BE"/>
    <w:rsid w:val="00DC1EB3"/>
    <w:rsid w:val="00DC2566"/>
    <w:rsid w:val="00DC28B3"/>
    <w:rsid w:val="00DC3FA3"/>
    <w:rsid w:val="00DC4CDC"/>
    <w:rsid w:val="00DC50E0"/>
    <w:rsid w:val="00DC6445"/>
    <w:rsid w:val="00DC6606"/>
    <w:rsid w:val="00DC6DAF"/>
    <w:rsid w:val="00DC79CA"/>
    <w:rsid w:val="00DC7C00"/>
    <w:rsid w:val="00DC7DEB"/>
    <w:rsid w:val="00DC7EFF"/>
    <w:rsid w:val="00DD017C"/>
    <w:rsid w:val="00DD0937"/>
    <w:rsid w:val="00DD15F2"/>
    <w:rsid w:val="00DD16B7"/>
    <w:rsid w:val="00DD1731"/>
    <w:rsid w:val="00DD17F7"/>
    <w:rsid w:val="00DD1EF4"/>
    <w:rsid w:val="00DD27BD"/>
    <w:rsid w:val="00DD31D1"/>
    <w:rsid w:val="00DD3485"/>
    <w:rsid w:val="00DD366E"/>
    <w:rsid w:val="00DD3A28"/>
    <w:rsid w:val="00DD4792"/>
    <w:rsid w:val="00DD47FB"/>
    <w:rsid w:val="00DD485A"/>
    <w:rsid w:val="00DD48B9"/>
    <w:rsid w:val="00DD4D29"/>
    <w:rsid w:val="00DD4D95"/>
    <w:rsid w:val="00DD51D1"/>
    <w:rsid w:val="00DD5497"/>
    <w:rsid w:val="00DD6681"/>
    <w:rsid w:val="00DD6C2D"/>
    <w:rsid w:val="00DD70CE"/>
    <w:rsid w:val="00DD7DBB"/>
    <w:rsid w:val="00DD7EA4"/>
    <w:rsid w:val="00DE1154"/>
    <w:rsid w:val="00DE148C"/>
    <w:rsid w:val="00DE1918"/>
    <w:rsid w:val="00DE1BAA"/>
    <w:rsid w:val="00DE1C27"/>
    <w:rsid w:val="00DE1E9B"/>
    <w:rsid w:val="00DE21F3"/>
    <w:rsid w:val="00DE2629"/>
    <w:rsid w:val="00DE27C2"/>
    <w:rsid w:val="00DE2A93"/>
    <w:rsid w:val="00DE3501"/>
    <w:rsid w:val="00DE48BE"/>
    <w:rsid w:val="00DE4931"/>
    <w:rsid w:val="00DE52C1"/>
    <w:rsid w:val="00DE5583"/>
    <w:rsid w:val="00DE5645"/>
    <w:rsid w:val="00DE575A"/>
    <w:rsid w:val="00DE583D"/>
    <w:rsid w:val="00DE5FDD"/>
    <w:rsid w:val="00DE64BF"/>
    <w:rsid w:val="00DE6AA4"/>
    <w:rsid w:val="00DF0369"/>
    <w:rsid w:val="00DF1499"/>
    <w:rsid w:val="00DF15C2"/>
    <w:rsid w:val="00DF2477"/>
    <w:rsid w:val="00DF2CE3"/>
    <w:rsid w:val="00DF2FDE"/>
    <w:rsid w:val="00DF318C"/>
    <w:rsid w:val="00DF36DB"/>
    <w:rsid w:val="00DF38EA"/>
    <w:rsid w:val="00DF3B14"/>
    <w:rsid w:val="00DF3C06"/>
    <w:rsid w:val="00DF3F37"/>
    <w:rsid w:val="00DF46E3"/>
    <w:rsid w:val="00DF4EFE"/>
    <w:rsid w:val="00DF570D"/>
    <w:rsid w:val="00DF5854"/>
    <w:rsid w:val="00DF5E2B"/>
    <w:rsid w:val="00DF5E56"/>
    <w:rsid w:val="00DF60BF"/>
    <w:rsid w:val="00DF630B"/>
    <w:rsid w:val="00DF66DD"/>
    <w:rsid w:val="00DF66F6"/>
    <w:rsid w:val="00DF6A58"/>
    <w:rsid w:val="00DF6F3A"/>
    <w:rsid w:val="00DF7196"/>
    <w:rsid w:val="00DF723E"/>
    <w:rsid w:val="00DF732E"/>
    <w:rsid w:val="00DF73DB"/>
    <w:rsid w:val="00DF7785"/>
    <w:rsid w:val="00DF7BF1"/>
    <w:rsid w:val="00E002FB"/>
    <w:rsid w:val="00E00892"/>
    <w:rsid w:val="00E00913"/>
    <w:rsid w:val="00E00B30"/>
    <w:rsid w:val="00E00F69"/>
    <w:rsid w:val="00E02633"/>
    <w:rsid w:val="00E029E7"/>
    <w:rsid w:val="00E02C23"/>
    <w:rsid w:val="00E03268"/>
    <w:rsid w:val="00E03408"/>
    <w:rsid w:val="00E03458"/>
    <w:rsid w:val="00E038D9"/>
    <w:rsid w:val="00E042A3"/>
    <w:rsid w:val="00E04499"/>
    <w:rsid w:val="00E04B75"/>
    <w:rsid w:val="00E04E0D"/>
    <w:rsid w:val="00E051C8"/>
    <w:rsid w:val="00E05633"/>
    <w:rsid w:val="00E062C9"/>
    <w:rsid w:val="00E066D7"/>
    <w:rsid w:val="00E0679F"/>
    <w:rsid w:val="00E067C7"/>
    <w:rsid w:val="00E0689C"/>
    <w:rsid w:val="00E06AAD"/>
    <w:rsid w:val="00E073A6"/>
    <w:rsid w:val="00E07B62"/>
    <w:rsid w:val="00E10BDB"/>
    <w:rsid w:val="00E114E3"/>
    <w:rsid w:val="00E11872"/>
    <w:rsid w:val="00E11E4A"/>
    <w:rsid w:val="00E1293A"/>
    <w:rsid w:val="00E1312B"/>
    <w:rsid w:val="00E142AF"/>
    <w:rsid w:val="00E143C2"/>
    <w:rsid w:val="00E146F9"/>
    <w:rsid w:val="00E1474A"/>
    <w:rsid w:val="00E14AC4"/>
    <w:rsid w:val="00E14CD2"/>
    <w:rsid w:val="00E1527B"/>
    <w:rsid w:val="00E155DA"/>
    <w:rsid w:val="00E161B6"/>
    <w:rsid w:val="00E16225"/>
    <w:rsid w:val="00E16EDD"/>
    <w:rsid w:val="00E170E6"/>
    <w:rsid w:val="00E171BA"/>
    <w:rsid w:val="00E17428"/>
    <w:rsid w:val="00E17F90"/>
    <w:rsid w:val="00E20641"/>
    <w:rsid w:val="00E20908"/>
    <w:rsid w:val="00E2092D"/>
    <w:rsid w:val="00E20E97"/>
    <w:rsid w:val="00E20F72"/>
    <w:rsid w:val="00E21268"/>
    <w:rsid w:val="00E21652"/>
    <w:rsid w:val="00E2246F"/>
    <w:rsid w:val="00E2285E"/>
    <w:rsid w:val="00E22B39"/>
    <w:rsid w:val="00E233E4"/>
    <w:rsid w:val="00E23489"/>
    <w:rsid w:val="00E23895"/>
    <w:rsid w:val="00E238BB"/>
    <w:rsid w:val="00E23C1D"/>
    <w:rsid w:val="00E23D74"/>
    <w:rsid w:val="00E246B6"/>
    <w:rsid w:val="00E2595E"/>
    <w:rsid w:val="00E259A7"/>
    <w:rsid w:val="00E25EF3"/>
    <w:rsid w:val="00E2672D"/>
    <w:rsid w:val="00E26876"/>
    <w:rsid w:val="00E27C3A"/>
    <w:rsid w:val="00E300F0"/>
    <w:rsid w:val="00E30AE8"/>
    <w:rsid w:val="00E30C74"/>
    <w:rsid w:val="00E30C97"/>
    <w:rsid w:val="00E30E97"/>
    <w:rsid w:val="00E31512"/>
    <w:rsid w:val="00E31519"/>
    <w:rsid w:val="00E31832"/>
    <w:rsid w:val="00E31A84"/>
    <w:rsid w:val="00E31DBF"/>
    <w:rsid w:val="00E31DF9"/>
    <w:rsid w:val="00E31E39"/>
    <w:rsid w:val="00E324B2"/>
    <w:rsid w:val="00E32678"/>
    <w:rsid w:val="00E3499D"/>
    <w:rsid w:val="00E34A5C"/>
    <w:rsid w:val="00E3505B"/>
    <w:rsid w:val="00E359C0"/>
    <w:rsid w:val="00E36628"/>
    <w:rsid w:val="00E36757"/>
    <w:rsid w:val="00E36E8C"/>
    <w:rsid w:val="00E375AF"/>
    <w:rsid w:val="00E3798B"/>
    <w:rsid w:val="00E37E9A"/>
    <w:rsid w:val="00E40280"/>
    <w:rsid w:val="00E41BC1"/>
    <w:rsid w:val="00E42847"/>
    <w:rsid w:val="00E42A81"/>
    <w:rsid w:val="00E431EC"/>
    <w:rsid w:val="00E43701"/>
    <w:rsid w:val="00E44ACD"/>
    <w:rsid w:val="00E44E73"/>
    <w:rsid w:val="00E45441"/>
    <w:rsid w:val="00E45BF2"/>
    <w:rsid w:val="00E45C46"/>
    <w:rsid w:val="00E45D6F"/>
    <w:rsid w:val="00E45F85"/>
    <w:rsid w:val="00E468D3"/>
    <w:rsid w:val="00E47048"/>
    <w:rsid w:val="00E4724F"/>
    <w:rsid w:val="00E475FE"/>
    <w:rsid w:val="00E476C8"/>
    <w:rsid w:val="00E47CA1"/>
    <w:rsid w:val="00E47FD8"/>
    <w:rsid w:val="00E50A1B"/>
    <w:rsid w:val="00E50B2B"/>
    <w:rsid w:val="00E50D23"/>
    <w:rsid w:val="00E51581"/>
    <w:rsid w:val="00E516F8"/>
    <w:rsid w:val="00E518DD"/>
    <w:rsid w:val="00E52570"/>
    <w:rsid w:val="00E53077"/>
    <w:rsid w:val="00E5343E"/>
    <w:rsid w:val="00E53D27"/>
    <w:rsid w:val="00E53E46"/>
    <w:rsid w:val="00E54188"/>
    <w:rsid w:val="00E5477B"/>
    <w:rsid w:val="00E54CE3"/>
    <w:rsid w:val="00E54D95"/>
    <w:rsid w:val="00E54F38"/>
    <w:rsid w:val="00E558C5"/>
    <w:rsid w:val="00E55BDC"/>
    <w:rsid w:val="00E571A8"/>
    <w:rsid w:val="00E57400"/>
    <w:rsid w:val="00E577C1"/>
    <w:rsid w:val="00E57B1B"/>
    <w:rsid w:val="00E60591"/>
    <w:rsid w:val="00E609AD"/>
    <w:rsid w:val="00E60B0D"/>
    <w:rsid w:val="00E60C9D"/>
    <w:rsid w:val="00E61D06"/>
    <w:rsid w:val="00E622A9"/>
    <w:rsid w:val="00E62384"/>
    <w:rsid w:val="00E62457"/>
    <w:rsid w:val="00E627A6"/>
    <w:rsid w:val="00E6299F"/>
    <w:rsid w:val="00E63347"/>
    <w:rsid w:val="00E6384D"/>
    <w:rsid w:val="00E63BDC"/>
    <w:rsid w:val="00E63CA7"/>
    <w:rsid w:val="00E642D5"/>
    <w:rsid w:val="00E658DD"/>
    <w:rsid w:val="00E65EA5"/>
    <w:rsid w:val="00E67368"/>
    <w:rsid w:val="00E678B8"/>
    <w:rsid w:val="00E67A95"/>
    <w:rsid w:val="00E67B1D"/>
    <w:rsid w:val="00E7019B"/>
    <w:rsid w:val="00E702B8"/>
    <w:rsid w:val="00E70496"/>
    <w:rsid w:val="00E70B72"/>
    <w:rsid w:val="00E71514"/>
    <w:rsid w:val="00E715F3"/>
    <w:rsid w:val="00E71C83"/>
    <w:rsid w:val="00E731ED"/>
    <w:rsid w:val="00E7481A"/>
    <w:rsid w:val="00E7498B"/>
    <w:rsid w:val="00E75121"/>
    <w:rsid w:val="00E751E2"/>
    <w:rsid w:val="00E75699"/>
    <w:rsid w:val="00E7622C"/>
    <w:rsid w:val="00E7661B"/>
    <w:rsid w:val="00E77230"/>
    <w:rsid w:val="00E77563"/>
    <w:rsid w:val="00E776FF"/>
    <w:rsid w:val="00E77CD2"/>
    <w:rsid w:val="00E8008C"/>
    <w:rsid w:val="00E801FA"/>
    <w:rsid w:val="00E80285"/>
    <w:rsid w:val="00E80E58"/>
    <w:rsid w:val="00E81073"/>
    <w:rsid w:val="00E8113F"/>
    <w:rsid w:val="00E815A2"/>
    <w:rsid w:val="00E81804"/>
    <w:rsid w:val="00E81816"/>
    <w:rsid w:val="00E81C83"/>
    <w:rsid w:val="00E823FF"/>
    <w:rsid w:val="00E8274A"/>
    <w:rsid w:val="00E82A23"/>
    <w:rsid w:val="00E831E6"/>
    <w:rsid w:val="00E835CE"/>
    <w:rsid w:val="00E83986"/>
    <w:rsid w:val="00E849D8"/>
    <w:rsid w:val="00E84A43"/>
    <w:rsid w:val="00E84C9A"/>
    <w:rsid w:val="00E84CA1"/>
    <w:rsid w:val="00E85266"/>
    <w:rsid w:val="00E85C4C"/>
    <w:rsid w:val="00E860A2"/>
    <w:rsid w:val="00E86197"/>
    <w:rsid w:val="00E86E0B"/>
    <w:rsid w:val="00E86E54"/>
    <w:rsid w:val="00E86F1F"/>
    <w:rsid w:val="00E872EB"/>
    <w:rsid w:val="00E87D6A"/>
    <w:rsid w:val="00E905DC"/>
    <w:rsid w:val="00E90CAD"/>
    <w:rsid w:val="00E910BF"/>
    <w:rsid w:val="00E9116C"/>
    <w:rsid w:val="00E91992"/>
    <w:rsid w:val="00E91A65"/>
    <w:rsid w:val="00E91BE6"/>
    <w:rsid w:val="00E9261E"/>
    <w:rsid w:val="00E92DBD"/>
    <w:rsid w:val="00E932A9"/>
    <w:rsid w:val="00E93C2F"/>
    <w:rsid w:val="00E940E8"/>
    <w:rsid w:val="00E942E8"/>
    <w:rsid w:val="00E9576F"/>
    <w:rsid w:val="00E95987"/>
    <w:rsid w:val="00E95A3B"/>
    <w:rsid w:val="00E95F5C"/>
    <w:rsid w:val="00E96D47"/>
    <w:rsid w:val="00E97A00"/>
    <w:rsid w:val="00EA0140"/>
    <w:rsid w:val="00EA05F4"/>
    <w:rsid w:val="00EA070E"/>
    <w:rsid w:val="00EA0835"/>
    <w:rsid w:val="00EA0865"/>
    <w:rsid w:val="00EA1656"/>
    <w:rsid w:val="00EA29A0"/>
    <w:rsid w:val="00EA33D5"/>
    <w:rsid w:val="00EA404C"/>
    <w:rsid w:val="00EA4357"/>
    <w:rsid w:val="00EA4486"/>
    <w:rsid w:val="00EA46FC"/>
    <w:rsid w:val="00EA4706"/>
    <w:rsid w:val="00EA477E"/>
    <w:rsid w:val="00EA48DC"/>
    <w:rsid w:val="00EA5084"/>
    <w:rsid w:val="00EA5321"/>
    <w:rsid w:val="00EA5359"/>
    <w:rsid w:val="00EA557C"/>
    <w:rsid w:val="00EA5CFE"/>
    <w:rsid w:val="00EA609D"/>
    <w:rsid w:val="00EA6650"/>
    <w:rsid w:val="00EA6921"/>
    <w:rsid w:val="00EB03E4"/>
    <w:rsid w:val="00EB097C"/>
    <w:rsid w:val="00EB14DF"/>
    <w:rsid w:val="00EB212B"/>
    <w:rsid w:val="00EB23DD"/>
    <w:rsid w:val="00EB2C1A"/>
    <w:rsid w:val="00EB2D03"/>
    <w:rsid w:val="00EB2FD3"/>
    <w:rsid w:val="00EB2FF8"/>
    <w:rsid w:val="00EB392C"/>
    <w:rsid w:val="00EB49DA"/>
    <w:rsid w:val="00EB4B10"/>
    <w:rsid w:val="00EB4B2D"/>
    <w:rsid w:val="00EB55F3"/>
    <w:rsid w:val="00EB67A0"/>
    <w:rsid w:val="00EB6882"/>
    <w:rsid w:val="00EB735F"/>
    <w:rsid w:val="00EB76F0"/>
    <w:rsid w:val="00EB7A3C"/>
    <w:rsid w:val="00EC0483"/>
    <w:rsid w:val="00EC0F79"/>
    <w:rsid w:val="00EC0FDF"/>
    <w:rsid w:val="00EC15F0"/>
    <w:rsid w:val="00EC17A1"/>
    <w:rsid w:val="00EC1E8B"/>
    <w:rsid w:val="00EC2972"/>
    <w:rsid w:val="00EC3327"/>
    <w:rsid w:val="00EC38D7"/>
    <w:rsid w:val="00EC47BD"/>
    <w:rsid w:val="00EC4DFF"/>
    <w:rsid w:val="00EC5433"/>
    <w:rsid w:val="00EC5FFF"/>
    <w:rsid w:val="00EC62D5"/>
    <w:rsid w:val="00EC6A60"/>
    <w:rsid w:val="00EC6ED2"/>
    <w:rsid w:val="00EC7076"/>
    <w:rsid w:val="00EC79B9"/>
    <w:rsid w:val="00ED02E5"/>
    <w:rsid w:val="00ED06A5"/>
    <w:rsid w:val="00ED0C7D"/>
    <w:rsid w:val="00ED0D89"/>
    <w:rsid w:val="00ED0D8E"/>
    <w:rsid w:val="00ED1608"/>
    <w:rsid w:val="00ED175C"/>
    <w:rsid w:val="00ED179B"/>
    <w:rsid w:val="00ED17EF"/>
    <w:rsid w:val="00ED1CA0"/>
    <w:rsid w:val="00ED1F77"/>
    <w:rsid w:val="00ED249F"/>
    <w:rsid w:val="00ED24B0"/>
    <w:rsid w:val="00ED25CC"/>
    <w:rsid w:val="00ED2997"/>
    <w:rsid w:val="00ED33B6"/>
    <w:rsid w:val="00ED3DF2"/>
    <w:rsid w:val="00ED4215"/>
    <w:rsid w:val="00ED4D0A"/>
    <w:rsid w:val="00ED4D43"/>
    <w:rsid w:val="00ED57CE"/>
    <w:rsid w:val="00ED60B6"/>
    <w:rsid w:val="00ED7011"/>
    <w:rsid w:val="00EE01D3"/>
    <w:rsid w:val="00EE0AD7"/>
    <w:rsid w:val="00EE136F"/>
    <w:rsid w:val="00EE1ECF"/>
    <w:rsid w:val="00EE2316"/>
    <w:rsid w:val="00EE2386"/>
    <w:rsid w:val="00EE3C79"/>
    <w:rsid w:val="00EE43A6"/>
    <w:rsid w:val="00EE59D9"/>
    <w:rsid w:val="00EE5D85"/>
    <w:rsid w:val="00EE5F11"/>
    <w:rsid w:val="00EE6585"/>
    <w:rsid w:val="00EE668B"/>
    <w:rsid w:val="00EE6722"/>
    <w:rsid w:val="00EE678D"/>
    <w:rsid w:val="00EE6ADD"/>
    <w:rsid w:val="00EE7403"/>
    <w:rsid w:val="00EE746A"/>
    <w:rsid w:val="00EE753A"/>
    <w:rsid w:val="00EE770E"/>
    <w:rsid w:val="00EE7E7D"/>
    <w:rsid w:val="00EE7FA1"/>
    <w:rsid w:val="00EF0B06"/>
    <w:rsid w:val="00EF0B60"/>
    <w:rsid w:val="00EF0B8E"/>
    <w:rsid w:val="00EF1066"/>
    <w:rsid w:val="00EF212D"/>
    <w:rsid w:val="00EF28CE"/>
    <w:rsid w:val="00EF28F9"/>
    <w:rsid w:val="00EF2AFF"/>
    <w:rsid w:val="00EF389F"/>
    <w:rsid w:val="00EF431A"/>
    <w:rsid w:val="00EF44CB"/>
    <w:rsid w:val="00EF4568"/>
    <w:rsid w:val="00EF4DE9"/>
    <w:rsid w:val="00EF5226"/>
    <w:rsid w:val="00EF55CE"/>
    <w:rsid w:val="00EF5E31"/>
    <w:rsid w:val="00EF62D5"/>
    <w:rsid w:val="00EF6EFE"/>
    <w:rsid w:val="00F002CE"/>
    <w:rsid w:val="00F00C29"/>
    <w:rsid w:val="00F00DF2"/>
    <w:rsid w:val="00F00EF8"/>
    <w:rsid w:val="00F01A7A"/>
    <w:rsid w:val="00F01CA2"/>
    <w:rsid w:val="00F022FB"/>
    <w:rsid w:val="00F02EAB"/>
    <w:rsid w:val="00F02F59"/>
    <w:rsid w:val="00F02FC9"/>
    <w:rsid w:val="00F038D3"/>
    <w:rsid w:val="00F03EB2"/>
    <w:rsid w:val="00F03ED1"/>
    <w:rsid w:val="00F0412B"/>
    <w:rsid w:val="00F043B5"/>
    <w:rsid w:val="00F0457C"/>
    <w:rsid w:val="00F04999"/>
    <w:rsid w:val="00F04E24"/>
    <w:rsid w:val="00F04EF3"/>
    <w:rsid w:val="00F052E5"/>
    <w:rsid w:val="00F05411"/>
    <w:rsid w:val="00F05D9C"/>
    <w:rsid w:val="00F06180"/>
    <w:rsid w:val="00F068F3"/>
    <w:rsid w:val="00F06BF2"/>
    <w:rsid w:val="00F0709D"/>
    <w:rsid w:val="00F071C7"/>
    <w:rsid w:val="00F07628"/>
    <w:rsid w:val="00F0786C"/>
    <w:rsid w:val="00F07C10"/>
    <w:rsid w:val="00F07F7B"/>
    <w:rsid w:val="00F1015D"/>
    <w:rsid w:val="00F109D6"/>
    <w:rsid w:val="00F10AF6"/>
    <w:rsid w:val="00F10E00"/>
    <w:rsid w:val="00F11B70"/>
    <w:rsid w:val="00F11FA4"/>
    <w:rsid w:val="00F11FF1"/>
    <w:rsid w:val="00F12D25"/>
    <w:rsid w:val="00F1388F"/>
    <w:rsid w:val="00F13D8F"/>
    <w:rsid w:val="00F150D8"/>
    <w:rsid w:val="00F15795"/>
    <w:rsid w:val="00F160FB"/>
    <w:rsid w:val="00F16186"/>
    <w:rsid w:val="00F16A6A"/>
    <w:rsid w:val="00F202A7"/>
    <w:rsid w:val="00F20596"/>
    <w:rsid w:val="00F20B2C"/>
    <w:rsid w:val="00F211E0"/>
    <w:rsid w:val="00F214F5"/>
    <w:rsid w:val="00F21CFE"/>
    <w:rsid w:val="00F220F6"/>
    <w:rsid w:val="00F224C6"/>
    <w:rsid w:val="00F224F9"/>
    <w:rsid w:val="00F22502"/>
    <w:rsid w:val="00F2250B"/>
    <w:rsid w:val="00F22E44"/>
    <w:rsid w:val="00F230F3"/>
    <w:rsid w:val="00F2332E"/>
    <w:rsid w:val="00F2340E"/>
    <w:rsid w:val="00F235C5"/>
    <w:rsid w:val="00F2400C"/>
    <w:rsid w:val="00F24066"/>
    <w:rsid w:val="00F24226"/>
    <w:rsid w:val="00F2487C"/>
    <w:rsid w:val="00F24DAF"/>
    <w:rsid w:val="00F25D4C"/>
    <w:rsid w:val="00F25EA3"/>
    <w:rsid w:val="00F26057"/>
    <w:rsid w:val="00F26FC8"/>
    <w:rsid w:val="00F27161"/>
    <w:rsid w:val="00F2748A"/>
    <w:rsid w:val="00F27E03"/>
    <w:rsid w:val="00F30084"/>
    <w:rsid w:val="00F303AE"/>
    <w:rsid w:val="00F303E4"/>
    <w:rsid w:val="00F3041B"/>
    <w:rsid w:val="00F3107F"/>
    <w:rsid w:val="00F312A5"/>
    <w:rsid w:val="00F3175F"/>
    <w:rsid w:val="00F318E8"/>
    <w:rsid w:val="00F31C1F"/>
    <w:rsid w:val="00F3212C"/>
    <w:rsid w:val="00F32249"/>
    <w:rsid w:val="00F3235E"/>
    <w:rsid w:val="00F32494"/>
    <w:rsid w:val="00F32F48"/>
    <w:rsid w:val="00F32FE9"/>
    <w:rsid w:val="00F33D5E"/>
    <w:rsid w:val="00F345BB"/>
    <w:rsid w:val="00F34B0B"/>
    <w:rsid w:val="00F35445"/>
    <w:rsid w:val="00F354D7"/>
    <w:rsid w:val="00F36A28"/>
    <w:rsid w:val="00F3724B"/>
    <w:rsid w:val="00F372E9"/>
    <w:rsid w:val="00F3746F"/>
    <w:rsid w:val="00F3768E"/>
    <w:rsid w:val="00F37831"/>
    <w:rsid w:val="00F401CE"/>
    <w:rsid w:val="00F418F5"/>
    <w:rsid w:val="00F4205C"/>
    <w:rsid w:val="00F4334B"/>
    <w:rsid w:val="00F435A4"/>
    <w:rsid w:val="00F4372E"/>
    <w:rsid w:val="00F43E78"/>
    <w:rsid w:val="00F447AA"/>
    <w:rsid w:val="00F44CC2"/>
    <w:rsid w:val="00F44E9A"/>
    <w:rsid w:val="00F44F38"/>
    <w:rsid w:val="00F45152"/>
    <w:rsid w:val="00F458E3"/>
    <w:rsid w:val="00F45A20"/>
    <w:rsid w:val="00F45EED"/>
    <w:rsid w:val="00F4659B"/>
    <w:rsid w:val="00F465EC"/>
    <w:rsid w:val="00F465F9"/>
    <w:rsid w:val="00F5018F"/>
    <w:rsid w:val="00F51006"/>
    <w:rsid w:val="00F511BD"/>
    <w:rsid w:val="00F511FC"/>
    <w:rsid w:val="00F51686"/>
    <w:rsid w:val="00F51F30"/>
    <w:rsid w:val="00F5287E"/>
    <w:rsid w:val="00F53131"/>
    <w:rsid w:val="00F53925"/>
    <w:rsid w:val="00F5402D"/>
    <w:rsid w:val="00F54803"/>
    <w:rsid w:val="00F54974"/>
    <w:rsid w:val="00F5507D"/>
    <w:rsid w:val="00F55506"/>
    <w:rsid w:val="00F55684"/>
    <w:rsid w:val="00F55BE5"/>
    <w:rsid w:val="00F55F17"/>
    <w:rsid w:val="00F55FC7"/>
    <w:rsid w:val="00F56145"/>
    <w:rsid w:val="00F56A17"/>
    <w:rsid w:val="00F56FEC"/>
    <w:rsid w:val="00F5766B"/>
    <w:rsid w:val="00F57880"/>
    <w:rsid w:val="00F57AE6"/>
    <w:rsid w:val="00F60295"/>
    <w:rsid w:val="00F60E17"/>
    <w:rsid w:val="00F60EE2"/>
    <w:rsid w:val="00F613DA"/>
    <w:rsid w:val="00F61C8F"/>
    <w:rsid w:val="00F61DBC"/>
    <w:rsid w:val="00F61E07"/>
    <w:rsid w:val="00F6298B"/>
    <w:rsid w:val="00F62CC3"/>
    <w:rsid w:val="00F637C7"/>
    <w:rsid w:val="00F637E4"/>
    <w:rsid w:val="00F63E1A"/>
    <w:rsid w:val="00F64F74"/>
    <w:rsid w:val="00F658FA"/>
    <w:rsid w:val="00F6632D"/>
    <w:rsid w:val="00F666BA"/>
    <w:rsid w:val="00F667FE"/>
    <w:rsid w:val="00F66801"/>
    <w:rsid w:val="00F66993"/>
    <w:rsid w:val="00F66E22"/>
    <w:rsid w:val="00F677D6"/>
    <w:rsid w:val="00F70151"/>
    <w:rsid w:val="00F70544"/>
    <w:rsid w:val="00F71011"/>
    <w:rsid w:val="00F71169"/>
    <w:rsid w:val="00F71AE1"/>
    <w:rsid w:val="00F72EE8"/>
    <w:rsid w:val="00F7353C"/>
    <w:rsid w:val="00F74066"/>
    <w:rsid w:val="00F74518"/>
    <w:rsid w:val="00F7496A"/>
    <w:rsid w:val="00F74A71"/>
    <w:rsid w:val="00F7531C"/>
    <w:rsid w:val="00F75344"/>
    <w:rsid w:val="00F75779"/>
    <w:rsid w:val="00F757C5"/>
    <w:rsid w:val="00F75A67"/>
    <w:rsid w:val="00F75E84"/>
    <w:rsid w:val="00F76031"/>
    <w:rsid w:val="00F7680A"/>
    <w:rsid w:val="00F770A1"/>
    <w:rsid w:val="00F77296"/>
    <w:rsid w:val="00F77F9E"/>
    <w:rsid w:val="00F8034D"/>
    <w:rsid w:val="00F8099E"/>
    <w:rsid w:val="00F81196"/>
    <w:rsid w:val="00F81411"/>
    <w:rsid w:val="00F8150F"/>
    <w:rsid w:val="00F81660"/>
    <w:rsid w:val="00F816B8"/>
    <w:rsid w:val="00F82903"/>
    <w:rsid w:val="00F82E84"/>
    <w:rsid w:val="00F841A3"/>
    <w:rsid w:val="00F844A7"/>
    <w:rsid w:val="00F844C6"/>
    <w:rsid w:val="00F84535"/>
    <w:rsid w:val="00F8474D"/>
    <w:rsid w:val="00F849A1"/>
    <w:rsid w:val="00F84C75"/>
    <w:rsid w:val="00F8595A"/>
    <w:rsid w:val="00F85FDE"/>
    <w:rsid w:val="00F8698F"/>
    <w:rsid w:val="00F86AE2"/>
    <w:rsid w:val="00F86EEB"/>
    <w:rsid w:val="00F87035"/>
    <w:rsid w:val="00F870A3"/>
    <w:rsid w:val="00F87570"/>
    <w:rsid w:val="00F87B39"/>
    <w:rsid w:val="00F900EB"/>
    <w:rsid w:val="00F90797"/>
    <w:rsid w:val="00F90EB8"/>
    <w:rsid w:val="00F91511"/>
    <w:rsid w:val="00F915BD"/>
    <w:rsid w:val="00F925C1"/>
    <w:rsid w:val="00F926FE"/>
    <w:rsid w:val="00F9348A"/>
    <w:rsid w:val="00F935C6"/>
    <w:rsid w:val="00F9395C"/>
    <w:rsid w:val="00F94995"/>
    <w:rsid w:val="00F94AE9"/>
    <w:rsid w:val="00F94BD5"/>
    <w:rsid w:val="00F9560C"/>
    <w:rsid w:val="00F9567D"/>
    <w:rsid w:val="00F957CB"/>
    <w:rsid w:val="00F9591C"/>
    <w:rsid w:val="00F95A8D"/>
    <w:rsid w:val="00F95BAB"/>
    <w:rsid w:val="00F95FDA"/>
    <w:rsid w:val="00F962E7"/>
    <w:rsid w:val="00F96585"/>
    <w:rsid w:val="00F966C5"/>
    <w:rsid w:val="00F966DF"/>
    <w:rsid w:val="00F96F12"/>
    <w:rsid w:val="00F977DF"/>
    <w:rsid w:val="00F97F48"/>
    <w:rsid w:val="00FA0FEE"/>
    <w:rsid w:val="00FA188E"/>
    <w:rsid w:val="00FA23FE"/>
    <w:rsid w:val="00FA24A7"/>
    <w:rsid w:val="00FA2D66"/>
    <w:rsid w:val="00FA3983"/>
    <w:rsid w:val="00FA58E1"/>
    <w:rsid w:val="00FA5AAC"/>
    <w:rsid w:val="00FA5E1A"/>
    <w:rsid w:val="00FA5F74"/>
    <w:rsid w:val="00FA60C4"/>
    <w:rsid w:val="00FA63A1"/>
    <w:rsid w:val="00FA6D13"/>
    <w:rsid w:val="00FA7022"/>
    <w:rsid w:val="00FA725A"/>
    <w:rsid w:val="00FA72AB"/>
    <w:rsid w:val="00FA73A2"/>
    <w:rsid w:val="00FA7538"/>
    <w:rsid w:val="00FA79AE"/>
    <w:rsid w:val="00FA7BB7"/>
    <w:rsid w:val="00FB014A"/>
    <w:rsid w:val="00FB02B7"/>
    <w:rsid w:val="00FB0759"/>
    <w:rsid w:val="00FB0EF5"/>
    <w:rsid w:val="00FB127C"/>
    <w:rsid w:val="00FB14D4"/>
    <w:rsid w:val="00FB23FD"/>
    <w:rsid w:val="00FB244B"/>
    <w:rsid w:val="00FB277F"/>
    <w:rsid w:val="00FB36AD"/>
    <w:rsid w:val="00FB397F"/>
    <w:rsid w:val="00FB3E0F"/>
    <w:rsid w:val="00FB535B"/>
    <w:rsid w:val="00FB55C8"/>
    <w:rsid w:val="00FB56E6"/>
    <w:rsid w:val="00FB673B"/>
    <w:rsid w:val="00FB6939"/>
    <w:rsid w:val="00FB7071"/>
    <w:rsid w:val="00FB7B87"/>
    <w:rsid w:val="00FB7C58"/>
    <w:rsid w:val="00FC1DDE"/>
    <w:rsid w:val="00FC2932"/>
    <w:rsid w:val="00FC2AAD"/>
    <w:rsid w:val="00FC3361"/>
    <w:rsid w:val="00FC3499"/>
    <w:rsid w:val="00FC3906"/>
    <w:rsid w:val="00FC4254"/>
    <w:rsid w:val="00FC4561"/>
    <w:rsid w:val="00FC525B"/>
    <w:rsid w:val="00FC56A6"/>
    <w:rsid w:val="00FC5875"/>
    <w:rsid w:val="00FC60B0"/>
    <w:rsid w:val="00FC619F"/>
    <w:rsid w:val="00FC72C1"/>
    <w:rsid w:val="00FC73AC"/>
    <w:rsid w:val="00FC741D"/>
    <w:rsid w:val="00FC74C7"/>
    <w:rsid w:val="00FC7515"/>
    <w:rsid w:val="00FC7774"/>
    <w:rsid w:val="00FC7D4D"/>
    <w:rsid w:val="00FD0651"/>
    <w:rsid w:val="00FD1A55"/>
    <w:rsid w:val="00FD1A8D"/>
    <w:rsid w:val="00FD224E"/>
    <w:rsid w:val="00FD25D5"/>
    <w:rsid w:val="00FD4918"/>
    <w:rsid w:val="00FD4CC0"/>
    <w:rsid w:val="00FD56EF"/>
    <w:rsid w:val="00FD6205"/>
    <w:rsid w:val="00FD66A3"/>
    <w:rsid w:val="00FD7D2A"/>
    <w:rsid w:val="00FE027B"/>
    <w:rsid w:val="00FE05EE"/>
    <w:rsid w:val="00FE16D3"/>
    <w:rsid w:val="00FE2459"/>
    <w:rsid w:val="00FE2701"/>
    <w:rsid w:val="00FE31AF"/>
    <w:rsid w:val="00FE34FD"/>
    <w:rsid w:val="00FE48A8"/>
    <w:rsid w:val="00FE4EE8"/>
    <w:rsid w:val="00FE5AF8"/>
    <w:rsid w:val="00FE6EE3"/>
    <w:rsid w:val="00FE73C2"/>
    <w:rsid w:val="00FE7795"/>
    <w:rsid w:val="00FE79E4"/>
    <w:rsid w:val="00FE7BD1"/>
    <w:rsid w:val="00FF0631"/>
    <w:rsid w:val="00FF06B5"/>
    <w:rsid w:val="00FF1585"/>
    <w:rsid w:val="00FF1D70"/>
    <w:rsid w:val="00FF1EA6"/>
    <w:rsid w:val="00FF3A67"/>
    <w:rsid w:val="00FF47A4"/>
    <w:rsid w:val="00FF4939"/>
    <w:rsid w:val="00FF49AE"/>
    <w:rsid w:val="00FF4E51"/>
    <w:rsid w:val="00FF54E7"/>
    <w:rsid w:val="00FF5A88"/>
    <w:rsid w:val="00FF6F71"/>
    <w:rsid w:val="00FF7353"/>
    <w:rsid w:val="00FF7875"/>
    <w:rsid w:val="00FF7D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BAC40"/>
  <w15:chartTrackingRefBased/>
  <w15:docId w15:val="{1CDE8F6A-CE98-402F-BAB2-4BE2C4D0B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19E"/>
    <w:pPr>
      <w:spacing w:line="480" w:lineRule="auto"/>
      <w:jc w:val="both"/>
    </w:pPr>
    <w:rPr>
      <w:rFonts w:ascii="Arial" w:hAnsi="Arial"/>
      <w:sz w:val="24"/>
    </w:rPr>
  </w:style>
  <w:style w:type="paragraph" w:styleId="Heading1">
    <w:name w:val="heading 1"/>
    <w:basedOn w:val="Normal"/>
    <w:next w:val="Normal"/>
    <w:link w:val="Heading1Char"/>
    <w:uiPriority w:val="9"/>
    <w:qFormat/>
    <w:rsid w:val="00676125"/>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76125"/>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125"/>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676125"/>
    <w:rPr>
      <w:rFonts w:ascii="Arial" w:eastAsiaTheme="majorEastAsia" w:hAnsi="Arial" w:cstheme="majorBidi"/>
      <w:b/>
      <w:sz w:val="24"/>
      <w:szCs w:val="26"/>
    </w:rPr>
  </w:style>
  <w:style w:type="paragraph" w:customStyle="1" w:styleId="Authors">
    <w:name w:val="Authors"/>
    <w:basedOn w:val="Normal"/>
    <w:rsid w:val="00676125"/>
    <w:pPr>
      <w:spacing w:before="120" w:after="360" w:line="240" w:lineRule="auto"/>
    </w:pPr>
    <w:rPr>
      <w:rFonts w:ascii="Times New Roman" w:eastAsia="Times New Roman" w:hAnsi="Times New Roman" w:cs="Times New Roman"/>
      <w:b/>
      <w:szCs w:val="24"/>
    </w:rPr>
  </w:style>
  <w:style w:type="character" w:styleId="Hyperlink">
    <w:name w:val="Hyperlink"/>
    <w:basedOn w:val="DefaultParagraphFont"/>
    <w:uiPriority w:val="99"/>
    <w:unhideWhenUsed/>
    <w:rsid w:val="009F5F8A"/>
    <w:rPr>
      <w:color w:val="0563C1" w:themeColor="hyperlink"/>
      <w:u w:val="single"/>
    </w:rPr>
  </w:style>
  <w:style w:type="character" w:customStyle="1" w:styleId="UnresolvedMention1">
    <w:name w:val="Unresolved Mention1"/>
    <w:basedOn w:val="DefaultParagraphFont"/>
    <w:uiPriority w:val="99"/>
    <w:semiHidden/>
    <w:unhideWhenUsed/>
    <w:rsid w:val="009F5F8A"/>
    <w:rPr>
      <w:color w:val="605E5C"/>
      <w:shd w:val="clear" w:color="auto" w:fill="E1DFDD"/>
    </w:rPr>
  </w:style>
  <w:style w:type="character" w:styleId="HTMLCite">
    <w:name w:val="HTML Cite"/>
    <w:basedOn w:val="DefaultParagraphFont"/>
    <w:uiPriority w:val="99"/>
    <w:semiHidden/>
    <w:unhideWhenUsed/>
    <w:rsid w:val="00C557CA"/>
    <w:rPr>
      <w:i/>
      <w:iCs/>
    </w:rPr>
  </w:style>
  <w:style w:type="paragraph" w:styleId="BodyText">
    <w:name w:val="Body Text"/>
    <w:basedOn w:val="Normal"/>
    <w:link w:val="BodyTextChar"/>
    <w:uiPriority w:val="1"/>
    <w:qFormat/>
    <w:rsid w:val="00496086"/>
    <w:pPr>
      <w:widowControl w:val="0"/>
      <w:spacing w:after="0" w:line="240" w:lineRule="auto"/>
      <w:ind w:left="126"/>
    </w:pPr>
    <w:rPr>
      <w:rFonts w:ascii="Bookman Old Style" w:eastAsia="Bookman Old Style" w:hAnsi="Bookman Old Style"/>
      <w:sz w:val="22"/>
    </w:rPr>
  </w:style>
  <w:style w:type="character" w:customStyle="1" w:styleId="BodyTextChar">
    <w:name w:val="Body Text Char"/>
    <w:basedOn w:val="DefaultParagraphFont"/>
    <w:link w:val="BodyText"/>
    <w:uiPriority w:val="1"/>
    <w:rsid w:val="00496086"/>
    <w:rPr>
      <w:rFonts w:ascii="Bookman Old Style" w:eastAsia="Bookman Old Style" w:hAnsi="Bookman Old Style"/>
    </w:rPr>
  </w:style>
  <w:style w:type="table" w:styleId="TableGrid">
    <w:name w:val="Table Grid"/>
    <w:basedOn w:val="TableNormal"/>
    <w:uiPriority w:val="39"/>
    <w:rsid w:val="00496086"/>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3D0579"/>
    <w:pPr>
      <w:widowControl w:val="0"/>
      <w:spacing w:before="120" w:after="320"/>
      <w:jc w:val="center"/>
    </w:pPr>
    <w:rPr>
      <w:iCs/>
      <w:sz w:val="22"/>
      <w:szCs w:val="18"/>
    </w:rPr>
  </w:style>
  <w:style w:type="paragraph" w:customStyle="1" w:styleId="Note">
    <w:name w:val="Note"/>
    <w:basedOn w:val="Normal"/>
    <w:autoRedefine/>
    <w:qFormat/>
    <w:rsid w:val="006E346F"/>
    <w:pPr>
      <w:spacing w:before="240" w:after="240"/>
      <w:jc w:val="center"/>
    </w:pPr>
    <w:rPr>
      <w:rFonts w:eastAsia="Times New Roman" w:cs="Arial"/>
      <w:szCs w:val="20"/>
    </w:rPr>
  </w:style>
  <w:style w:type="paragraph" w:styleId="ListParagraph">
    <w:name w:val="List Paragraph"/>
    <w:basedOn w:val="Normal"/>
    <w:uiPriority w:val="34"/>
    <w:qFormat/>
    <w:rsid w:val="00324459"/>
    <w:pPr>
      <w:ind w:left="720"/>
      <w:contextualSpacing/>
    </w:pPr>
  </w:style>
  <w:style w:type="character" w:styleId="PlaceholderText">
    <w:name w:val="Placeholder Text"/>
    <w:basedOn w:val="DefaultParagraphFont"/>
    <w:uiPriority w:val="99"/>
    <w:semiHidden/>
    <w:rsid w:val="00CE1A08"/>
    <w:rPr>
      <w:color w:val="808080"/>
    </w:rPr>
  </w:style>
  <w:style w:type="character" w:styleId="Emphasis">
    <w:name w:val="Emphasis"/>
    <w:basedOn w:val="DefaultParagraphFont"/>
    <w:uiPriority w:val="20"/>
    <w:qFormat/>
    <w:rsid w:val="00016FDB"/>
    <w:rPr>
      <w:i/>
      <w:iCs/>
    </w:rPr>
  </w:style>
  <w:style w:type="paragraph" w:customStyle="1" w:styleId="TableParagraph">
    <w:name w:val="Table Paragraph"/>
    <w:basedOn w:val="Normal"/>
    <w:uiPriority w:val="1"/>
    <w:qFormat/>
    <w:rsid w:val="00553525"/>
    <w:pPr>
      <w:widowControl w:val="0"/>
      <w:spacing w:after="0" w:line="240" w:lineRule="auto"/>
      <w:jc w:val="left"/>
    </w:pPr>
    <w:rPr>
      <w:rFonts w:asciiTheme="minorHAnsi" w:hAnsiTheme="minorHAnsi"/>
      <w:sz w:val="22"/>
    </w:rPr>
  </w:style>
  <w:style w:type="character" w:styleId="CommentReference">
    <w:name w:val="annotation reference"/>
    <w:basedOn w:val="DefaultParagraphFont"/>
    <w:uiPriority w:val="99"/>
    <w:semiHidden/>
    <w:unhideWhenUsed/>
    <w:rsid w:val="00323B50"/>
    <w:rPr>
      <w:sz w:val="16"/>
      <w:szCs w:val="16"/>
    </w:rPr>
  </w:style>
  <w:style w:type="paragraph" w:styleId="CommentText">
    <w:name w:val="annotation text"/>
    <w:basedOn w:val="Normal"/>
    <w:link w:val="CommentTextChar"/>
    <w:uiPriority w:val="99"/>
    <w:unhideWhenUsed/>
    <w:rsid w:val="00323B50"/>
    <w:pPr>
      <w:spacing w:line="240" w:lineRule="auto"/>
    </w:pPr>
    <w:rPr>
      <w:sz w:val="20"/>
      <w:szCs w:val="20"/>
    </w:rPr>
  </w:style>
  <w:style w:type="character" w:customStyle="1" w:styleId="CommentTextChar">
    <w:name w:val="Comment Text Char"/>
    <w:basedOn w:val="DefaultParagraphFont"/>
    <w:link w:val="CommentText"/>
    <w:uiPriority w:val="99"/>
    <w:rsid w:val="00323B5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23B50"/>
    <w:rPr>
      <w:b/>
      <w:bCs/>
    </w:rPr>
  </w:style>
  <w:style w:type="character" w:customStyle="1" w:styleId="CommentSubjectChar">
    <w:name w:val="Comment Subject Char"/>
    <w:basedOn w:val="CommentTextChar"/>
    <w:link w:val="CommentSubject"/>
    <w:uiPriority w:val="99"/>
    <w:semiHidden/>
    <w:rsid w:val="00323B50"/>
    <w:rPr>
      <w:rFonts w:ascii="Arial" w:hAnsi="Arial"/>
      <w:b/>
      <w:bCs/>
      <w:sz w:val="20"/>
      <w:szCs w:val="20"/>
    </w:rPr>
  </w:style>
  <w:style w:type="paragraph" w:styleId="BalloonText">
    <w:name w:val="Balloon Text"/>
    <w:basedOn w:val="Normal"/>
    <w:link w:val="BalloonTextChar"/>
    <w:uiPriority w:val="99"/>
    <w:semiHidden/>
    <w:unhideWhenUsed/>
    <w:rsid w:val="00323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B50"/>
    <w:rPr>
      <w:rFonts w:ascii="Segoe UI" w:hAnsi="Segoe UI" w:cs="Segoe UI"/>
      <w:sz w:val="18"/>
      <w:szCs w:val="18"/>
    </w:rPr>
  </w:style>
  <w:style w:type="character" w:styleId="Strong">
    <w:name w:val="Strong"/>
    <w:basedOn w:val="DefaultParagraphFont"/>
    <w:uiPriority w:val="22"/>
    <w:qFormat/>
    <w:rsid w:val="00111890"/>
    <w:rPr>
      <w:b/>
      <w:bCs/>
    </w:rPr>
  </w:style>
  <w:style w:type="character" w:customStyle="1" w:styleId="auxiliary">
    <w:name w:val="auxiliary"/>
    <w:basedOn w:val="DefaultParagraphFont"/>
    <w:rsid w:val="00456027"/>
  </w:style>
  <w:style w:type="character" w:customStyle="1" w:styleId="verb">
    <w:name w:val="verb"/>
    <w:basedOn w:val="DefaultParagraphFont"/>
    <w:rsid w:val="00456027"/>
  </w:style>
  <w:style w:type="paragraph" w:styleId="Header">
    <w:name w:val="header"/>
    <w:basedOn w:val="Normal"/>
    <w:link w:val="HeaderChar"/>
    <w:uiPriority w:val="99"/>
    <w:unhideWhenUsed/>
    <w:rsid w:val="004A2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67A"/>
    <w:rPr>
      <w:rFonts w:ascii="Arial" w:hAnsi="Arial"/>
      <w:sz w:val="24"/>
    </w:rPr>
  </w:style>
  <w:style w:type="paragraph" w:styleId="Footer">
    <w:name w:val="footer"/>
    <w:basedOn w:val="Normal"/>
    <w:link w:val="FooterChar"/>
    <w:uiPriority w:val="99"/>
    <w:unhideWhenUsed/>
    <w:rsid w:val="004A2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67A"/>
    <w:rPr>
      <w:rFonts w:ascii="Arial" w:hAnsi="Arial"/>
      <w:sz w:val="24"/>
    </w:rPr>
  </w:style>
  <w:style w:type="character" w:styleId="LineNumber">
    <w:name w:val="line number"/>
    <w:basedOn w:val="DefaultParagraphFont"/>
    <w:uiPriority w:val="99"/>
    <w:semiHidden/>
    <w:unhideWhenUsed/>
    <w:rsid w:val="003D11F7"/>
  </w:style>
  <w:style w:type="paragraph" w:customStyle="1" w:styleId="Figures">
    <w:name w:val="Figures"/>
    <w:basedOn w:val="Normal"/>
    <w:qFormat/>
    <w:rsid w:val="007211F9"/>
    <w:pPr>
      <w:jc w:val="center"/>
    </w:pPr>
    <w:rPr>
      <w:sz w:val="20"/>
    </w:rPr>
  </w:style>
  <w:style w:type="paragraph" w:styleId="NormalWeb">
    <w:name w:val="Normal (Web)"/>
    <w:basedOn w:val="Normal"/>
    <w:uiPriority w:val="99"/>
    <w:unhideWhenUsed/>
    <w:rsid w:val="000130ED"/>
    <w:pPr>
      <w:spacing w:before="100" w:beforeAutospacing="1" w:after="100" w:afterAutospacing="1" w:line="240" w:lineRule="auto"/>
      <w:jc w:val="left"/>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6B5F4B"/>
    <w:rPr>
      <w:color w:val="605E5C"/>
      <w:shd w:val="clear" w:color="auto" w:fill="E1DFDD"/>
    </w:rPr>
  </w:style>
  <w:style w:type="paragraph" w:styleId="Revision">
    <w:name w:val="Revision"/>
    <w:hidden/>
    <w:uiPriority w:val="99"/>
    <w:semiHidden/>
    <w:rsid w:val="006C2852"/>
    <w:pPr>
      <w:spacing w:after="0" w:line="240" w:lineRule="auto"/>
    </w:pPr>
    <w:rPr>
      <w:rFonts w:ascii="Arial" w:hAnsi="Arial"/>
      <w:sz w:val="24"/>
    </w:rPr>
  </w:style>
  <w:style w:type="table" w:styleId="GridTable1Light">
    <w:name w:val="Grid Table 1 Light"/>
    <w:basedOn w:val="TableNormal"/>
    <w:uiPriority w:val="46"/>
    <w:rsid w:val="00E147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6739">
      <w:bodyDiv w:val="1"/>
      <w:marLeft w:val="0"/>
      <w:marRight w:val="0"/>
      <w:marTop w:val="0"/>
      <w:marBottom w:val="0"/>
      <w:divBdr>
        <w:top w:val="none" w:sz="0" w:space="0" w:color="auto"/>
        <w:left w:val="none" w:sz="0" w:space="0" w:color="auto"/>
        <w:bottom w:val="none" w:sz="0" w:space="0" w:color="auto"/>
        <w:right w:val="none" w:sz="0" w:space="0" w:color="auto"/>
      </w:divBdr>
    </w:div>
    <w:div w:id="140925355">
      <w:bodyDiv w:val="1"/>
      <w:marLeft w:val="0"/>
      <w:marRight w:val="0"/>
      <w:marTop w:val="0"/>
      <w:marBottom w:val="0"/>
      <w:divBdr>
        <w:top w:val="none" w:sz="0" w:space="0" w:color="auto"/>
        <w:left w:val="none" w:sz="0" w:space="0" w:color="auto"/>
        <w:bottom w:val="none" w:sz="0" w:space="0" w:color="auto"/>
        <w:right w:val="none" w:sz="0" w:space="0" w:color="auto"/>
      </w:divBdr>
      <w:divsChild>
        <w:div w:id="1196693296">
          <w:marLeft w:val="0"/>
          <w:marRight w:val="0"/>
          <w:marTop w:val="0"/>
          <w:marBottom w:val="0"/>
          <w:divBdr>
            <w:top w:val="none" w:sz="0" w:space="0" w:color="auto"/>
            <w:left w:val="none" w:sz="0" w:space="0" w:color="auto"/>
            <w:bottom w:val="none" w:sz="0" w:space="0" w:color="auto"/>
            <w:right w:val="none" w:sz="0" w:space="0" w:color="auto"/>
          </w:divBdr>
          <w:divsChild>
            <w:div w:id="659848526">
              <w:marLeft w:val="0"/>
              <w:marRight w:val="0"/>
              <w:marTop w:val="0"/>
              <w:marBottom w:val="0"/>
              <w:divBdr>
                <w:top w:val="none" w:sz="0" w:space="0" w:color="auto"/>
                <w:left w:val="none" w:sz="0" w:space="0" w:color="auto"/>
                <w:bottom w:val="none" w:sz="0" w:space="0" w:color="auto"/>
                <w:right w:val="none" w:sz="0" w:space="0" w:color="auto"/>
              </w:divBdr>
              <w:divsChild>
                <w:div w:id="866483366">
                  <w:marLeft w:val="0"/>
                  <w:marRight w:val="0"/>
                  <w:marTop w:val="0"/>
                  <w:marBottom w:val="0"/>
                  <w:divBdr>
                    <w:top w:val="none" w:sz="0" w:space="0" w:color="auto"/>
                    <w:left w:val="none" w:sz="0" w:space="0" w:color="auto"/>
                    <w:bottom w:val="none" w:sz="0" w:space="0" w:color="auto"/>
                    <w:right w:val="none" w:sz="0" w:space="0" w:color="auto"/>
                  </w:divBdr>
                  <w:divsChild>
                    <w:div w:id="18832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04563">
      <w:bodyDiv w:val="1"/>
      <w:marLeft w:val="0"/>
      <w:marRight w:val="0"/>
      <w:marTop w:val="0"/>
      <w:marBottom w:val="0"/>
      <w:divBdr>
        <w:top w:val="none" w:sz="0" w:space="0" w:color="auto"/>
        <w:left w:val="none" w:sz="0" w:space="0" w:color="auto"/>
        <w:bottom w:val="none" w:sz="0" w:space="0" w:color="auto"/>
        <w:right w:val="none" w:sz="0" w:space="0" w:color="auto"/>
      </w:divBdr>
      <w:divsChild>
        <w:div w:id="1306348593">
          <w:marLeft w:val="0"/>
          <w:marRight w:val="0"/>
          <w:marTop w:val="0"/>
          <w:marBottom w:val="0"/>
          <w:divBdr>
            <w:top w:val="none" w:sz="0" w:space="0" w:color="auto"/>
            <w:left w:val="none" w:sz="0" w:space="0" w:color="auto"/>
            <w:bottom w:val="none" w:sz="0" w:space="0" w:color="auto"/>
            <w:right w:val="none" w:sz="0" w:space="0" w:color="auto"/>
          </w:divBdr>
        </w:div>
      </w:divsChild>
    </w:div>
    <w:div w:id="192501358">
      <w:bodyDiv w:val="1"/>
      <w:marLeft w:val="0"/>
      <w:marRight w:val="0"/>
      <w:marTop w:val="0"/>
      <w:marBottom w:val="0"/>
      <w:divBdr>
        <w:top w:val="none" w:sz="0" w:space="0" w:color="auto"/>
        <w:left w:val="none" w:sz="0" w:space="0" w:color="auto"/>
        <w:bottom w:val="none" w:sz="0" w:space="0" w:color="auto"/>
        <w:right w:val="none" w:sz="0" w:space="0" w:color="auto"/>
      </w:divBdr>
      <w:divsChild>
        <w:div w:id="1473983405">
          <w:marLeft w:val="0"/>
          <w:marRight w:val="0"/>
          <w:marTop w:val="0"/>
          <w:marBottom w:val="0"/>
          <w:divBdr>
            <w:top w:val="none" w:sz="0" w:space="0" w:color="auto"/>
            <w:left w:val="none" w:sz="0" w:space="0" w:color="auto"/>
            <w:bottom w:val="none" w:sz="0" w:space="0" w:color="auto"/>
            <w:right w:val="none" w:sz="0" w:space="0" w:color="auto"/>
          </w:divBdr>
        </w:div>
      </w:divsChild>
    </w:div>
    <w:div w:id="211769449">
      <w:bodyDiv w:val="1"/>
      <w:marLeft w:val="0"/>
      <w:marRight w:val="0"/>
      <w:marTop w:val="0"/>
      <w:marBottom w:val="0"/>
      <w:divBdr>
        <w:top w:val="none" w:sz="0" w:space="0" w:color="auto"/>
        <w:left w:val="none" w:sz="0" w:space="0" w:color="auto"/>
        <w:bottom w:val="none" w:sz="0" w:space="0" w:color="auto"/>
        <w:right w:val="none" w:sz="0" w:space="0" w:color="auto"/>
      </w:divBdr>
    </w:div>
    <w:div w:id="315570659">
      <w:bodyDiv w:val="1"/>
      <w:marLeft w:val="0"/>
      <w:marRight w:val="0"/>
      <w:marTop w:val="0"/>
      <w:marBottom w:val="0"/>
      <w:divBdr>
        <w:top w:val="none" w:sz="0" w:space="0" w:color="auto"/>
        <w:left w:val="none" w:sz="0" w:space="0" w:color="auto"/>
        <w:bottom w:val="none" w:sz="0" w:space="0" w:color="auto"/>
        <w:right w:val="none" w:sz="0" w:space="0" w:color="auto"/>
      </w:divBdr>
      <w:divsChild>
        <w:div w:id="585379717">
          <w:marLeft w:val="0"/>
          <w:marRight w:val="0"/>
          <w:marTop w:val="0"/>
          <w:marBottom w:val="0"/>
          <w:divBdr>
            <w:top w:val="none" w:sz="0" w:space="0" w:color="auto"/>
            <w:left w:val="none" w:sz="0" w:space="0" w:color="auto"/>
            <w:bottom w:val="none" w:sz="0" w:space="0" w:color="auto"/>
            <w:right w:val="none" w:sz="0" w:space="0" w:color="auto"/>
          </w:divBdr>
        </w:div>
      </w:divsChild>
    </w:div>
    <w:div w:id="327753276">
      <w:bodyDiv w:val="1"/>
      <w:marLeft w:val="0"/>
      <w:marRight w:val="0"/>
      <w:marTop w:val="0"/>
      <w:marBottom w:val="0"/>
      <w:divBdr>
        <w:top w:val="none" w:sz="0" w:space="0" w:color="auto"/>
        <w:left w:val="none" w:sz="0" w:space="0" w:color="auto"/>
        <w:bottom w:val="none" w:sz="0" w:space="0" w:color="auto"/>
        <w:right w:val="none" w:sz="0" w:space="0" w:color="auto"/>
      </w:divBdr>
    </w:div>
    <w:div w:id="351691490">
      <w:bodyDiv w:val="1"/>
      <w:marLeft w:val="0"/>
      <w:marRight w:val="0"/>
      <w:marTop w:val="0"/>
      <w:marBottom w:val="0"/>
      <w:divBdr>
        <w:top w:val="none" w:sz="0" w:space="0" w:color="auto"/>
        <w:left w:val="none" w:sz="0" w:space="0" w:color="auto"/>
        <w:bottom w:val="none" w:sz="0" w:space="0" w:color="auto"/>
        <w:right w:val="none" w:sz="0" w:space="0" w:color="auto"/>
      </w:divBdr>
    </w:div>
    <w:div w:id="365064690">
      <w:bodyDiv w:val="1"/>
      <w:marLeft w:val="0"/>
      <w:marRight w:val="0"/>
      <w:marTop w:val="0"/>
      <w:marBottom w:val="0"/>
      <w:divBdr>
        <w:top w:val="none" w:sz="0" w:space="0" w:color="auto"/>
        <w:left w:val="none" w:sz="0" w:space="0" w:color="auto"/>
        <w:bottom w:val="none" w:sz="0" w:space="0" w:color="auto"/>
        <w:right w:val="none" w:sz="0" w:space="0" w:color="auto"/>
      </w:divBdr>
      <w:divsChild>
        <w:div w:id="887685671">
          <w:marLeft w:val="1080"/>
          <w:marRight w:val="0"/>
          <w:marTop w:val="100"/>
          <w:marBottom w:val="0"/>
          <w:divBdr>
            <w:top w:val="none" w:sz="0" w:space="0" w:color="auto"/>
            <w:left w:val="none" w:sz="0" w:space="0" w:color="auto"/>
            <w:bottom w:val="none" w:sz="0" w:space="0" w:color="auto"/>
            <w:right w:val="none" w:sz="0" w:space="0" w:color="auto"/>
          </w:divBdr>
        </w:div>
        <w:div w:id="1783109220">
          <w:marLeft w:val="1080"/>
          <w:marRight w:val="0"/>
          <w:marTop w:val="100"/>
          <w:marBottom w:val="0"/>
          <w:divBdr>
            <w:top w:val="none" w:sz="0" w:space="0" w:color="auto"/>
            <w:left w:val="none" w:sz="0" w:space="0" w:color="auto"/>
            <w:bottom w:val="none" w:sz="0" w:space="0" w:color="auto"/>
            <w:right w:val="none" w:sz="0" w:space="0" w:color="auto"/>
          </w:divBdr>
        </w:div>
      </w:divsChild>
    </w:div>
    <w:div w:id="377316183">
      <w:bodyDiv w:val="1"/>
      <w:marLeft w:val="0"/>
      <w:marRight w:val="0"/>
      <w:marTop w:val="0"/>
      <w:marBottom w:val="0"/>
      <w:divBdr>
        <w:top w:val="none" w:sz="0" w:space="0" w:color="auto"/>
        <w:left w:val="none" w:sz="0" w:space="0" w:color="auto"/>
        <w:bottom w:val="none" w:sz="0" w:space="0" w:color="auto"/>
        <w:right w:val="none" w:sz="0" w:space="0" w:color="auto"/>
      </w:divBdr>
    </w:div>
    <w:div w:id="398789828">
      <w:bodyDiv w:val="1"/>
      <w:marLeft w:val="0"/>
      <w:marRight w:val="0"/>
      <w:marTop w:val="0"/>
      <w:marBottom w:val="0"/>
      <w:divBdr>
        <w:top w:val="none" w:sz="0" w:space="0" w:color="auto"/>
        <w:left w:val="none" w:sz="0" w:space="0" w:color="auto"/>
        <w:bottom w:val="none" w:sz="0" w:space="0" w:color="auto"/>
        <w:right w:val="none" w:sz="0" w:space="0" w:color="auto"/>
      </w:divBdr>
      <w:divsChild>
        <w:div w:id="1668629679">
          <w:marLeft w:val="1080"/>
          <w:marRight w:val="0"/>
          <w:marTop w:val="100"/>
          <w:marBottom w:val="0"/>
          <w:divBdr>
            <w:top w:val="none" w:sz="0" w:space="0" w:color="auto"/>
            <w:left w:val="none" w:sz="0" w:space="0" w:color="auto"/>
            <w:bottom w:val="none" w:sz="0" w:space="0" w:color="auto"/>
            <w:right w:val="none" w:sz="0" w:space="0" w:color="auto"/>
          </w:divBdr>
        </w:div>
      </w:divsChild>
    </w:div>
    <w:div w:id="447970760">
      <w:bodyDiv w:val="1"/>
      <w:marLeft w:val="0"/>
      <w:marRight w:val="0"/>
      <w:marTop w:val="0"/>
      <w:marBottom w:val="0"/>
      <w:divBdr>
        <w:top w:val="none" w:sz="0" w:space="0" w:color="auto"/>
        <w:left w:val="none" w:sz="0" w:space="0" w:color="auto"/>
        <w:bottom w:val="none" w:sz="0" w:space="0" w:color="auto"/>
        <w:right w:val="none" w:sz="0" w:space="0" w:color="auto"/>
      </w:divBdr>
    </w:div>
    <w:div w:id="478152826">
      <w:bodyDiv w:val="1"/>
      <w:marLeft w:val="0"/>
      <w:marRight w:val="0"/>
      <w:marTop w:val="0"/>
      <w:marBottom w:val="0"/>
      <w:divBdr>
        <w:top w:val="none" w:sz="0" w:space="0" w:color="auto"/>
        <w:left w:val="none" w:sz="0" w:space="0" w:color="auto"/>
        <w:bottom w:val="none" w:sz="0" w:space="0" w:color="auto"/>
        <w:right w:val="none" w:sz="0" w:space="0" w:color="auto"/>
      </w:divBdr>
      <w:divsChild>
        <w:div w:id="468477906">
          <w:marLeft w:val="446"/>
          <w:marRight w:val="0"/>
          <w:marTop w:val="200"/>
          <w:marBottom w:val="0"/>
          <w:divBdr>
            <w:top w:val="none" w:sz="0" w:space="0" w:color="auto"/>
            <w:left w:val="none" w:sz="0" w:space="0" w:color="auto"/>
            <w:bottom w:val="none" w:sz="0" w:space="0" w:color="auto"/>
            <w:right w:val="none" w:sz="0" w:space="0" w:color="auto"/>
          </w:divBdr>
        </w:div>
      </w:divsChild>
    </w:div>
    <w:div w:id="515004972">
      <w:bodyDiv w:val="1"/>
      <w:marLeft w:val="0"/>
      <w:marRight w:val="0"/>
      <w:marTop w:val="0"/>
      <w:marBottom w:val="0"/>
      <w:divBdr>
        <w:top w:val="none" w:sz="0" w:space="0" w:color="auto"/>
        <w:left w:val="none" w:sz="0" w:space="0" w:color="auto"/>
        <w:bottom w:val="none" w:sz="0" w:space="0" w:color="auto"/>
        <w:right w:val="none" w:sz="0" w:space="0" w:color="auto"/>
      </w:divBdr>
      <w:divsChild>
        <w:div w:id="1398746049">
          <w:marLeft w:val="0"/>
          <w:marRight w:val="0"/>
          <w:marTop w:val="0"/>
          <w:marBottom w:val="0"/>
          <w:divBdr>
            <w:top w:val="none" w:sz="0" w:space="0" w:color="auto"/>
            <w:left w:val="none" w:sz="0" w:space="0" w:color="auto"/>
            <w:bottom w:val="none" w:sz="0" w:space="0" w:color="auto"/>
            <w:right w:val="none" w:sz="0" w:space="0" w:color="auto"/>
          </w:divBdr>
        </w:div>
      </w:divsChild>
    </w:div>
    <w:div w:id="533036346">
      <w:bodyDiv w:val="1"/>
      <w:marLeft w:val="0"/>
      <w:marRight w:val="0"/>
      <w:marTop w:val="0"/>
      <w:marBottom w:val="0"/>
      <w:divBdr>
        <w:top w:val="none" w:sz="0" w:space="0" w:color="auto"/>
        <w:left w:val="none" w:sz="0" w:space="0" w:color="auto"/>
        <w:bottom w:val="none" w:sz="0" w:space="0" w:color="auto"/>
        <w:right w:val="none" w:sz="0" w:space="0" w:color="auto"/>
      </w:divBdr>
    </w:div>
    <w:div w:id="566498425">
      <w:bodyDiv w:val="1"/>
      <w:marLeft w:val="0"/>
      <w:marRight w:val="0"/>
      <w:marTop w:val="0"/>
      <w:marBottom w:val="0"/>
      <w:divBdr>
        <w:top w:val="none" w:sz="0" w:space="0" w:color="auto"/>
        <w:left w:val="none" w:sz="0" w:space="0" w:color="auto"/>
        <w:bottom w:val="none" w:sz="0" w:space="0" w:color="auto"/>
        <w:right w:val="none" w:sz="0" w:space="0" w:color="auto"/>
      </w:divBdr>
      <w:divsChild>
        <w:div w:id="1111508046">
          <w:marLeft w:val="547"/>
          <w:marRight w:val="0"/>
          <w:marTop w:val="0"/>
          <w:marBottom w:val="0"/>
          <w:divBdr>
            <w:top w:val="none" w:sz="0" w:space="0" w:color="auto"/>
            <w:left w:val="none" w:sz="0" w:space="0" w:color="auto"/>
            <w:bottom w:val="none" w:sz="0" w:space="0" w:color="auto"/>
            <w:right w:val="none" w:sz="0" w:space="0" w:color="auto"/>
          </w:divBdr>
        </w:div>
        <w:div w:id="1299529536">
          <w:marLeft w:val="547"/>
          <w:marRight w:val="0"/>
          <w:marTop w:val="0"/>
          <w:marBottom w:val="0"/>
          <w:divBdr>
            <w:top w:val="none" w:sz="0" w:space="0" w:color="auto"/>
            <w:left w:val="none" w:sz="0" w:space="0" w:color="auto"/>
            <w:bottom w:val="none" w:sz="0" w:space="0" w:color="auto"/>
            <w:right w:val="none" w:sz="0" w:space="0" w:color="auto"/>
          </w:divBdr>
        </w:div>
      </w:divsChild>
    </w:div>
    <w:div w:id="636305174">
      <w:bodyDiv w:val="1"/>
      <w:marLeft w:val="0"/>
      <w:marRight w:val="0"/>
      <w:marTop w:val="0"/>
      <w:marBottom w:val="0"/>
      <w:divBdr>
        <w:top w:val="none" w:sz="0" w:space="0" w:color="auto"/>
        <w:left w:val="none" w:sz="0" w:space="0" w:color="auto"/>
        <w:bottom w:val="none" w:sz="0" w:space="0" w:color="auto"/>
        <w:right w:val="none" w:sz="0" w:space="0" w:color="auto"/>
      </w:divBdr>
    </w:div>
    <w:div w:id="670571256">
      <w:bodyDiv w:val="1"/>
      <w:marLeft w:val="0"/>
      <w:marRight w:val="0"/>
      <w:marTop w:val="0"/>
      <w:marBottom w:val="0"/>
      <w:divBdr>
        <w:top w:val="none" w:sz="0" w:space="0" w:color="auto"/>
        <w:left w:val="none" w:sz="0" w:space="0" w:color="auto"/>
        <w:bottom w:val="none" w:sz="0" w:space="0" w:color="auto"/>
        <w:right w:val="none" w:sz="0" w:space="0" w:color="auto"/>
      </w:divBdr>
    </w:div>
    <w:div w:id="717969103">
      <w:bodyDiv w:val="1"/>
      <w:marLeft w:val="0"/>
      <w:marRight w:val="0"/>
      <w:marTop w:val="0"/>
      <w:marBottom w:val="0"/>
      <w:divBdr>
        <w:top w:val="none" w:sz="0" w:space="0" w:color="auto"/>
        <w:left w:val="none" w:sz="0" w:space="0" w:color="auto"/>
        <w:bottom w:val="none" w:sz="0" w:space="0" w:color="auto"/>
        <w:right w:val="none" w:sz="0" w:space="0" w:color="auto"/>
      </w:divBdr>
    </w:div>
    <w:div w:id="812017586">
      <w:bodyDiv w:val="1"/>
      <w:marLeft w:val="0"/>
      <w:marRight w:val="0"/>
      <w:marTop w:val="0"/>
      <w:marBottom w:val="0"/>
      <w:divBdr>
        <w:top w:val="none" w:sz="0" w:space="0" w:color="auto"/>
        <w:left w:val="none" w:sz="0" w:space="0" w:color="auto"/>
        <w:bottom w:val="none" w:sz="0" w:space="0" w:color="auto"/>
        <w:right w:val="none" w:sz="0" w:space="0" w:color="auto"/>
      </w:divBdr>
    </w:div>
    <w:div w:id="866672353">
      <w:bodyDiv w:val="1"/>
      <w:marLeft w:val="0"/>
      <w:marRight w:val="0"/>
      <w:marTop w:val="0"/>
      <w:marBottom w:val="0"/>
      <w:divBdr>
        <w:top w:val="none" w:sz="0" w:space="0" w:color="auto"/>
        <w:left w:val="none" w:sz="0" w:space="0" w:color="auto"/>
        <w:bottom w:val="none" w:sz="0" w:space="0" w:color="auto"/>
        <w:right w:val="none" w:sz="0" w:space="0" w:color="auto"/>
      </w:divBdr>
      <w:divsChild>
        <w:div w:id="263999508">
          <w:marLeft w:val="0"/>
          <w:marRight w:val="0"/>
          <w:marTop w:val="0"/>
          <w:marBottom w:val="0"/>
          <w:divBdr>
            <w:top w:val="none" w:sz="0" w:space="0" w:color="auto"/>
            <w:left w:val="none" w:sz="0" w:space="0" w:color="auto"/>
            <w:bottom w:val="none" w:sz="0" w:space="0" w:color="auto"/>
            <w:right w:val="none" w:sz="0" w:space="0" w:color="auto"/>
          </w:divBdr>
        </w:div>
      </w:divsChild>
    </w:div>
    <w:div w:id="879630480">
      <w:bodyDiv w:val="1"/>
      <w:marLeft w:val="0"/>
      <w:marRight w:val="0"/>
      <w:marTop w:val="0"/>
      <w:marBottom w:val="0"/>
      <w:divBdr>
        <w:top w:val="none" w:sz="0" w:space="0" w:color="auto"/>
        <w:left w:val="none" w:sz="0" w:space="0" w:color="auto"/>
        <w:bottom w:val="none" w:sz="0" w:space="0" w:color="auto"/>
        <w:right w:val="none" w:sz="0" w:space="0" w:color="auto"/>
      </w:divBdr>
      <w:divsChild>
        <w:div w:id="2057659630">
          <w:marLeft w:val="0"/>
          <w:marRight w:val="0"/>
          <w:marTop w:val="0"/>
          <w:marBottom w:val="0"/>
          <w:divBdr>
            <w:top w:val="none" w:sz="0" w:space="0" w:color="auto"/>
            <w:left w:val="none" w:sz="0" w:space="0" w:color="auto"/>
            <w:bottom w:val="none" w:sz="0" w:space="0" w:color="auto"/>
            <w:right w:val="none" w:sz="0" w:space="0" w:color="auto"/>
          </w:divBdr>
        </w:div>
      </w:divsChild>
    </w:div>
    <w:div w:id="886529082">
      <w:bodyDiv w:val="1"/>
      <w:marLeft w:val="0"/>
      <w:marRight w:val="0"/>
      <w:marTop w:val="0"/>
      <w:marBottom w:val="0"/>
      <w:divBdr>
        <w:top w:val="none" w:sz="0" w:space="0" w:color="auto"/>
        <w:left w:val="none" w:sz="0" w:space="0" w:color="auto"/>
        <w:bottom w:val="none" w:sz="0" w:space="0" w:color="auto"/>
        <w:right w:val="none" w:sz="0" w:space="0" w:color="auto"/>
      </w:divBdr>
    </w:div>
    <w:div w:id="887759603">
      <w:bodyDiv w:val="1"/>
      <w:marLeft w:val="0"/>
      <w:marRight w:val="0"/>
      <w:marTop w:val="0"/>
      <w:marBottom w:val="0"/>
      <w:divBdr>
        <w:top w:val="none" w:sz="0" w:space="0" w:color="auto"/>
        <w:left w:val="none" w:sz="0" w:space="0" w:color="auto"/>
        <w:bottom w:val="none" w:sz="0" w:space="0" w:color="auto"/>
        <w:right w:val="none" w:sz="0" w:space="0" w:color="auto"/>
      </w:divBdr>
      <w:divsChild>
        <w:div w:id="622080725">
          <w:marLeft w:val="0"/>
          <w:marRight w:val="0"/>
          <w:marTop w:val="0"/>
          <w:marBottom w:val="0"/>
          <w:divBdr>
            <w:top w:val="none" w:sz="0" w:space="0" w:color="auto"/>
            <w:left w:val="none" w:sz="0" w:space="0" w:color="auto"/>
            <w:bottom w:val="none" w:sz="0" w:space="0" w:color="auto"/>
            <w:right w:val="none" w:sz="0" w:space="0" w:color="auto"/>
          </w:divBdr>
          <w:divsChild>
            <w:div w:id="853229043">
              <w:marLeft w:val="0"/>
              <w:marRight w:val="0"/>
              <w:marTop w:val="0"/>
              <w:marBottom w:val="0"/>
              <w:divBdr>
                <w:top w:val="none" w:sz="0" w:space="0" w:color="auto"/>
                <w:left w:val="none" w:sz="0" w:space="0" w:color="auto"/>
                <w:bottom w:val="none" w:sz="0" w:space="0" w:color="auto"/>
                <w:right w:val="none" w:sz="0" w:space="0" w:color="auto"/>
              </w:divBdr>
              <w:divsChild>
                <w:div w:id="550729454">
                  <w:marLeft w:val="0"/>
                  <w:marRight w:val="0"/>
                  <w:marTop w:val="0"/>
                  <w:marBottom w:val="0"/>
                  <w:divBdr>
                    <w:top w:val="none" w:sz="0" w:space="0" w:color="auto"/>
                    <w:left w:val="none" w:sz="0" w:space="0" w:color="auto"/>
                    <w:bottom w:val="none" w:sz="0" w:space="0" w:color="auto"/>
                    <w:right w:val="none" w:sz="0" w:space="0" w:color="auto"/>
                  </w:divBdr>
                  <w:divsChild>
                    <w:div w:id="58225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431941">
      <w:bodyDiv w:val="1"/>
      <w:marLeft w:val="0"/>
      <w:marRight w:val="0"/>
      <w:marTop w:val="0"/>
      <w:marBottom w:val="0"/>
      <w:divBdr>
        <w:top w:val="none" w:sz="0" w:space="0" w:color="auto"/>
        <w:left w:val="none" w:sz="0" w:space="0" w:color="auto"/>
        <w:bottom w:val="none" w:sz="0" w:space="0" w:color="auto"/>
        <w:right w:val="none" w:sz="0" w:space="0" w:color="auto"/>
      </w:divBdr>
    </w:div>
    <w:div w:id="992762218">
      <w:bodyDiv w:val="1"/>
      <w:marLeft w:val="0"/>
      <w:marRight w:val="0"/>
      <w:marTop w:val="0"/>
      <w:marBottom w:val="0"/>
      <w:divBdr>
        <w:top w:val="none" w:sz="0" w:space="0" w:color="auto"/>
        <w:left w:val="none" w:sz="0" w:space="0" w:color="auto"/>
        <w:bottom w:val="none" w:sz="0" w:space="0" w:color="auto"/>
        <w:right w:val="none" w:sz="0" w:space="0" w:color="auto"/>
      </w:divBdr>
    </w:div>
    <w:div w:id="1021593707">
      <w:bodyDiv w:val="1"/>
      <w:marLeft w:val="0"/>
      <w:marRight w:val="0"/>
      <w:marTop w:val="0"/>
      <w:marBottom w:val="0"/>
      <w:divBdr>
        <w:top w:val="none" w:sz="0" w:space="0" w:color="auto"/>
        <w:left w:val="none" w:sz="0" w:space="0" w:color="auto"/>
        <w:bottom w:val="none" w:sz="0" w:space="0" w:color="auto"/>
        <w:right w:val="none" w:sz="0" w:space="0" w:color="auto"/>
      </w:divBdr>
    </w:div>
    <w:div w:id="1071123781">
      <w:bodyDiv w:val="1"/>
      <w:marLeft w:val="0"/>
      <w:marRight w:val="0"/>
      <w:marTop w:val="0"/>
      <w:marBottom w:val="0"/>
      <w:divBdr>
        <w:top w:val="none" w:sz="0" w:space="0" w:color="auto"/>
        <w:left w:val="none" w:sz="0" w:space="0" w:color="auto"/>
        <w:bottom w:val="none" w:sz="0" w:space="0" w:color="auto"/>
        <w:right w:val="none" w:sz="0" w:space="0" w:color="auto"/>
      </w:divBdr>
    </w:div>
    <w:div w:id="1176265843">
      <w:bodyDiv w:val="1"/>
      <w:marLeft w:val="0"/>
      <w:marRight w:val="0"/>
      <w:marTop w:val="0"/>
      <w:marBottom w:val="0"/>
      <w:divBdr>
        <w:top w:val="none" w:sz="0" w:space="0" w:color="auto"/>
        <w:left w:val="none" w:sz="0" w:space="0" w:color="auto"/>
        <w:bottom w:val="none" w:sz="0" w:space="0" w:color="auto"/>
        <w:right w:val="none" w:sz="0" w:space="0" w:color="auto"/>
      </w:divBdr>
    </w:div>
    <w:div w:id="1270971079">
      <w:bodyDiv w:val="1"/>
      <w:marLeft w:val="0"/>
      <w:marRight w:val="0"/>
      <w:marTop w:val="0"/>
      <w:marBottom w:val="0"/>
      <w:divBdr>
        <w:top w:val="none" w:sz="0" w:space="0" w:color="auto"/>
        <w:left w:val="none" w:sz="0" w:space="0" w:color="auto"/>
        <w:bottom w:val="none" w:sz="0" w:space="0" w:color="auto"/>
        <w:right w:val="none" w:sz="0" w:space="0" w:color="auto"/>
      </w:divBdr>
      <w:divsChild>
        <w:div w:id="1949920652">
          <w:marLeft w:val="0"/>
          <w:marRight w:val="0"/>
          <w:marTop w:val="0"/>
          <w:marBottom w:val="0"/>
          <w:divBdr>
            <w:top w:val="none" w:sz="0" w:space="0" w:color="auto"/>
            <w:left w:val="none" w:sz="0" w:space="0" w:color="auto"/>
            <w:bottom w:val="none" w:sz="0" w:space="0" w:color="auto"/>
            <w:right w:val="none" w:sz="0" w:space="0" w:color="auto"/>
          </w:divBdr>
        </w:div>
      </w:divsChild>
    </w:div>
    <w:div w:id="1318345832">
      <w:bodyDiv w:val="1"/>
      <w:marLeft w:val="0"/>
      <w:marRight w:val="0"/>
      <w:marTop w:val="0"/>
      <w:marBottom w:val="0"/>
      <w:divBdr>
        <w:top w:val="none" w:sz="0" w:space="0" w:color="auto"/>
        <w:left w:val="none" w:sz="0" w:space="0" w:color="auto"/>
        <w:bottom w:val="none" w:sz="0" w:space="0" w:color="auto"/>
        <w:right w:val="none" w:sz="0" w:space="0" w:color="auto"/>
      </w:divBdr>
    </w:div>
    <w:div w:id="1322270963">
      <w:bodyDiv w:val="1"/>
      <w:marLeft w:val="0"/>
      <w:marRight w:val="0"/>
      <w:marTop w:val="0"/>
      <w:marBottom w:val="0"/>
      <w:divBdr>
        <w:top w:val="none" w:sz="0" w:space="0" w:color="auto"/>
        <w:left w:val="none" w:sz="0" w:space="0" w:color="auto"/>
        <w:bottom w:val="none" w:sz="0" w:space="0" w:color="auto"/>
        <w:right w:val="none" w:sz="0" w:space="0" w:color="auto"/>
      </w:divBdr>
      <w:divsChild>
        <w:div w:id="975986587">
          <w:marLeft w:val="446"/>
          <w:marRight w:val="0"/>
          <w:marTop w:val="200"/>
          <w:marBottom w:val="0"/>
          <w:divBdr>
            <w:top w:val="none" w:sz="0" w:space="0" w:color="auto"/>
            <w:left w:val="none" w:sz="0" w:space="0" w:color="auto"/>
            <w:bottom w:val="none" w:sz="0" w:space="0" w:color="auto"/>
            <w:right w:val="none" w:sz="0" w:space="0" w:color="auto"/>
          </w:divBdr>
        </w:div>
      </w:divsChild>
    </w:div>
    <w:div w:id="1366980958">
      <w:bodyDiv w:val="1"/>
      <w:marLeft w:val="0"/>
      <w:marRight w:val="0"/>
      <w:marTop w:val="0"/>
      <w:marBottom w:val="0"/>
      <w:divBdr>
        <w:top w:val="none" w:sz="0" w:space="0" w:color="auto"/>
        <w:left w:val="none" w:sz="0" w:space="0" w:color="auto"/>
        <w:bottom w:val="none" w:sz="0" w:space="0" w:color="auto"/>
        <w:right w:val="none" w:sz="0" w:space="0" w:color="auto"/>
      </w:divBdr>
    </w:div>
    <w:div w:id="1467698930">
      <w:bodyDiv w:val="1"/>
      <w:marLeft w:val="0"/>
      <w:marRight w:val="0"/>
      <w:marTop w:val="0"/>
      <w:marBottom w:val="0"/>
      <w:divBdr>
        <w:top w:val="none" w:sz="0" w:space="0" w:color="auto"/>
        <w:left w:val="none" w:sz="0" w:space="0" w:color="auto"/>
        <w:bottom w:val="none" w:sz="0" w:space="0" w:color="auto"/>
        <w:right w:val="none" w:sz="0" w:space="0" w:color="auto"/>
      </w:divBdr>
      <w:divsChild>
        <w:div w:id="569929915">
          <w:marLeft w:val="0"/>
          <w:marRight w:val="0"/>
          <w:marTop w:val="0"/>
          <w:marBottom w:val="0"/>
          <w:divBdr>
            <w:top w:val="none" w:sz="0" w:space="0" w:color="auto"/>
            <w:left w:val="none" w:sz="0" w:space="0" w:color="auto"/>
            <w:bottom w:val="none" w:sz="0" w:space="0" w:color="auto"/>
            <w:right w:val="none" w:sz="0" w:space="0" w:color="auto"/>
          </w:divBdr>
        </w:div>
      </w:divsChild>
    </w:div>
    <w:div w:id="1476023481">
      <w:bodyDiv w:val="1"/>
      <w:marLeft w:val="0"/>
      <w:marRight w:val="0"/>
      <w:marTop w:val="0"/>
      <w:marBottom w:val="0"/>
      <w:divBdr>
        <w:top w:val="none" w:sz="0" w:space="0" w:color="auto"/>
        <w:left w:val="none" w:sz="0" w:space="0" w:color="auto"/>
        <w:bottom w:val="none" w:sz="0" w:space="0" w:color="auto"/>
        <w:right w:val="none" w:sz="0" w:space="0" w:color="auto"/>
      </w:divBdr>
      <w:divsChild>
        <w:div w:id="1038970460">
          <w:marLeft w:val="0"/>
          <w:marRight w:val="0"/>
          <w:marTop w:val="0"/>
          <w:marBottom w:val="0"/>
          <w:divBdr>
            <w:top w:val="none" w:sz="0" w:space="0" w:color="auto"/>
            <w:left w:val="none" w:sz="0" w:space="0" w:color="auto"/>
            <w:bottom w:val="none" w:sz="0" w:space="0" w:color="auto"/>
            <w:right w:val="none" w:sz="0" w:space="0" w:color="auto"/>
          </w:divBdr>
        </w:div>
      </w:divsChild>
    </w:div>
    <w:div w:id="1485513857">
      <w:bodyDiv w:val="1"/>
      <w:marLeft w:val="0"/>
      <w:marRight w:val="0"/>
      <w:marTop w:val="0"/>
      <w:marBottom w:val="0"/>
      <w:divBdr>
        <w:top w:val="none" w:sz="0" w:space="0" w:color="auto"/>
        <w:left w:val="none" w:sz="0" w:space="0" w:color="auto"/>
        <w:bottom w:val="none" w:sz="0" w:space="0" w:color="auto"/>
        <w:right w:val="none" w:sz="0" w:space="0" w:color="auto"/>
      </w:divBdr>
      <w:divsChild>
        <w:div w:id="1002244646">
          <w:marLeft w:val="0"/>
          <w:marRight w:val="0"/>
          <w:marTop w:val="0"/>
          <w:marBottom w:val="0"/>
          <w:divBdr>
            <w:top w:val="none" w:sz="0" w:space="0" w:color="auto"/>
            <w:left w:val="none" w:sz="0" w:space="0" w:color="auto"/>
            <w:bottom w:val="none" w:sz="0" w:space="0" w:color="auto"/>
            <w:right w:val="none" w:sz="0" w:space="0" w:color="auto"/>
          </w:divBdr>
        </w:div>
      </w:divsChild>
    </w:div>
    <w:div w:id="1564484732">
      <w:bodyDiv w:val="1"/>
      <w:marLeft w:val="0"/>
      <w:marRight w:val="0"/>
      <w:marTop w:val="0"/>
      <w:marBottom w:val="0"/>
      <w:divBdr>
        <w:top w:val="none" w:sz="0" w:space="0" w:color="auto"/>
        <w:left w:val="none" w:sz="0" w:space="0" w:color="auto"/>
        <w:bottom w:val="none" w:sz="0" w:space="0" w:color="auto"/>
        <w:right w:val="none" w:sz="0" w:space="0" w:color="auto"/>
      </w:divBdr>
      <w:divsChild>
        <w:div w:id="44915784">
          <w:marLeft w:val="0"/>
          <w:marRight w:val="0"/>
          <w:marTop w:val="0"/>
          <w:marBottom w:val="0"/>
          <w:divBdr>
            <w:top w:val="none" w:sz="0" w:space="0" w:color="auto"/>
            <w:left w:val="none" w:sz="0" w:space="0" w:color="auto"/>
            <w:bottom w:val="none" w:sz="0" w:space="0" w:color="auto"/>
            <w:right w:val="none" w:sz="0" w:space="0" w:color="auto"/>
          </w:divBdr>
        </w:div>
      </w:divsChild>
    </w:div>
    <w:div w:id="1565023183">
      <w:bodyDiv w:val="1"/>
      <w:marLeft w:val="0"/>
      <w:marRight w:val="0"/>
      <w:marTop w:val="0"/>
      <w:marBottom w:val="0"/>
      <w:divBdr>
        <w:top w:val="none" w:sz="0" w:space="0" w:color="auto"/>
        <w:left w:val="none" w:sz="0" w:space="0" w:color="auto"/>
        <w:bottom w:val="none" w:sz="0" w:space="0" w:color="auto"/>
        <w:right w:val="none" w:sz="0" w:space="0" w:color="auto"/>
      </w:divBdr>
      <w:divsChild>
        <w:div w:id="1649629182">
          <w:marLeft w:val="0"/>
          <w:marRight w:val="0"/>
          <w:marTop w:val="0"/>
          <w:marBottom w:val="0"/>
          <w:divBdr>
            <w:top w:val="none" w:sz="0" w:space="0" w:color="auto"/>
            <w:left w:val="none" w:sz="0" w:space="0" w:color="auto"/>
            <w:bottom w:val="none" w:sz="0" w:space="0" w:color="auto"/>
            <w:right w:val="none" w:sz="0" w:space="0" w:color="auto"/>
          </w:divBdr>
        </w:div>
      </w:divsChild>
    </w:div>
    <w:div w:id="1568228821">
      <w:bodyDiv w:val="1"/>
      <w:marLeft w:val="0"/>
      <w:marRight w:val="0"/>
      <w:marTop w:val="0"/>
      <w:marBottom w:val="0"/>
      <w:divBdr>
        <w:top w:val="none" w:sz="0" w:space="0" w:color="auto"/>
        <w:left w:val="none" w:sz="0" w:space="0" w:color="auto"/>
        <w:bottom w:val="none" w:sz="0" w:space="0" w:color="auto"/>
        <w:right w:val="none" w:sz="0" w:space="0" w:color="auto"/>
      </w:divBdr>
    </w:div>
    <w:div w:id="1691449607">
      <w:bodyDiv w:val="1"/>
      <w:marLeft w:val="0"/>
      <w:marRight w:val="0"/>
      <w:marTop w:val="0"/>
      <w:marBottom w:val="0"/>
      <w:divBdr>
        <w:top w:val="none" w:sz="0" w:space="0" w:color="auto"/>
        <w:left w:val="none" w:sz="0" w:space="0" w:color="auto"/>
        <w:bottom w:val="none" w:sz="0" w:space="0" w:color="auto"/>
        <w:right w:val="none" w:sz="0" w:space="0" w:color="auto"/>
      </w:divBdr>
      <w:divsChild>
        <w:div w:id="1110050409">
          <w:marLeft w:val="0"/>
          <w:marRight w:val="0"/>
          <w:marTop w:val="0"/>
          <w:marBottom w:val="0"/>
          <w:divBdr>
            <w:top w:val="none" w:sz="0" w:space="0" w:color="auto"/>
            <w:left w:val="none" w:sz="0" w:space="0" w:color="auto"/>
            <w:bottom w:val="none" w:sz="0" w:space="0" w:color="auto"/>
            <w:right w:val="none" w:sz="0" w:space="0" w:color="auto"/>
          </w:divBdr>
        </w:div>
      </w:divsChild>
    </w:div>
    <w:div w:id="1794664255">
      <w:bodyDiv w:val="1"/>
      <w:marLeft w:val="0"/>
      <w:marRight w:val="0"/>
      <w:marTop w:val="0"/>
      <w:marBottom w:val="0"/>
      <w:divBdr>
        <w:top w:val="none" w:sz="0" w:space="0" w:color="auto"/>
        <w:left w:val="none" w:sz="0" w:space="0" w:color="auto"/>
        <w:bottom w:val="none" w:sz="0" w:space="0" w:color="auto"/>
        <w:right w:val="none" w:sz="0" w:space="0" w:color="auto"/>
      </w:divBdr>
      <w:divsChild>
        <w:div w:id="293800947">
          <w:marLeft w:val="0"/>
          <w:marRight w:val="0"/>
          <w:marTop w:val="0"/>
          <w:marBottom w:val="0"/>
          <w:divBdr>
            <w:top w:val="none" w:sz="0" w:space="0" w:color="auto"/>
            <w:left w:val="none" w:sz="0" w:space="0" w:color="auto"/>
            <w:bottom w:val="none" w:sz="0" w:space="0" w:color="auto"/>
            <w:right w:val="none" w:sz="0" w:space="0" w:color="auto"/>
          </w:divBdr>
          <w:divsChild>
            <w:div w:id="1922330402">
              <w:marLeft w:val="0"/>
              <w:marRight w:val="0"/>
              <w:marTop w:val="0"/>
              <w:marBottom w:val="0"/>
              <w:divBdr>
                <w:top w:val="none" w:sz="0" w:space="0" w:color="auto"/>
                <w:left w:val="none" w:sz="0" w:space="0" w:color="auto"/>
                <w:bottom w:val="none" w:sz="0" w:space="0" w:color="auto"/>
                <w:right w:val="none" w:sz="0" w:space="0" w:color="auto"/>
              </w:divBdr>
              <w:divsChild>
                <w:div w:id="950547125">
                  <w:marLeft w:val="0"/>
                  <w:marRight w:val="0"/>
                  <w:marTop w:val="0"/>
                  <w:marBottom w:val="0"/>
                  <w:divBdr>
                    <w:top w:val="none" w:sz="0" w:space="0" w:color="auto"/>
                    <w:left w:val="none" w:sz="0" w:space="0" w:color="auto"/>
                    <w:bottom w:val="none" w:sz="0" w:space="0" w:color="auto"/>
                    <w:right w:val="none" w:sz="0" w:space="0" w:color="auto"/>
                  </w:divBdr>
                  <w:divsChild>
                    <w:div w:id="6741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811127">
      <w:bodyDiv w:val="1"/>
      <w:marLeft w:val="0"/>
      <w:marRight w:val="0"/>
      <w:marTop w:val="0"/>
      <w:marBottom w:val="0"/>
      <w:divBdr>
        <w:top w:val="none" w:sz="0" w:space="0" w:color="auto"/>
        <w:left w:val="none" w:sz="0" w:space="0" w:color="auto"/>
        <w:bottom w:val="none" w:sz="0" w:space="0" w:color="auto"/>
        <w:right w:val="none" w:sz="0" w:space="0" w:color="auto"/>
      </w:divBdr>
    </w:div>
    <w:div w:id="213798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EB89C-8A77-46A2-8A8F-891F9CF62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2339</TotalTime>
  <Pages>58</Pages>
  <Words>9922</Words>
  <Characters>56557</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Pyrcz, Michael</dc:creator>
  <cp:keywords/>
  <dc:description/>
  <cp:lastModifiedBy>Eduardo Maldonado</cp:lastModifiedBy>
  <cp:revision>1366</cp:revision>
  <cp:lastPrinted>2022-08-15T03:28:00Z</cp:lastPrinted>
  <dcterms:created xsi:type="dcterms:W3CDTF">2023-03-06T17:22:00Z</dcterms:created>
  <dcterms:modified xsi:type="dcterms:W3CDTF">2023-04-08T02:37:00Z</dcterms:modified>
</cp:coreProperties>
</file>