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4472C4"/>
          <w:sz w:val="30"/>
        </w:rPr>
        <w:t>SMART BLOOD DONATION NETWORK</w:t>
      </w:r>
    </w:p>
    <w:p>
      <w:pPr>
        <w:pStyle w:val="Title"/>
        <w:jc w:val="center"/>
      </w:pPr>
      <w:r>
        <w:t>Proposed Machine Learning Research Directions</w:t>
      </w:r>
    </w:p>
    <w:p>
      <w:pPr>
        <w:jc w:val="center"/>
      </w:pPr>
      <w:r>
        <w:rPr>
          <w:color w:val="44546A"/>
          <w:sz w:val="30"/>
        </w:rPr>
        <w:t>Future FYP Aim and Potential Research Paper</w:t>
      </w:r>
    </w:p>
    <w:p/>
    <w:p>
      <w:pPr>
        <w:jc w:val="center"/>
      </w:pPr>
      <w:r>
        <w:rPr>
          <w:i/>
        </w:rPr>
        <w:t>Prepared for academic discussion</w:t>
      </w:r>
    </w:p>
    <w:p/>
    <w:tbl>
      <w:tblPr>
        <w:tblStyle w:val="LightShading-Accent1"/>
        <w:tblW w:type="auto" w:w="0"/>
        <w:tblLook w:firstColumn="1" w:firstRow="1" w:lastColumn="0" w:lastRow="0" w:noHBand="0" w:noVBand="1" w:val="04A0"/>
      </w:tblPr>
      <w:tblGrid>
        <w:gridCol w:w="4968"/>
        <w:gridCol w:w="4968"/>
      </w:tblGrid>
      <w:tr>
        <w:tc>
          <w:tcPr>
            <w:tcW w:type="dxa" w:w="4968"/>
            <w:vAlign w:val="center"/>
            <w:shd w:fill="D9EAF7"/>
          </w:tcPr>
          <w:p>
            <w:pPr>
              <w:spacing w:after="40"/>
            </w:pPr>
            <w:r/>
            <w:r>
              <w:rPr>
                <w:rFonts w:ascii="Aptos" w:hAnsi="Aptos"/>
                <w:b/>
                <w:color w:val="17365D"/>
                <w:sz w:val="20"/>
              </w:rPr>
              <w:t>Project context</w:t>
            </w:r>
          </w:p>
        </w:tc>
        <w:tc>
          <w:tcPr>
            <w:tcW w:type="dxa" w:w="4968"/>
            <w:vAlign w:val="center"/>
          </w:tcPr>
          <w:p>
            <w:pPr>
              <w:spacing w:after="40"/>
            </w:pPr>
            <w:r/>
            <w:r>
              <w:rPr>
                <w:rFonts w:ascii="Aptos" w:hAnsi="Aptos"/>
                <w:b w:val="0"/>
                <w:sz w:val="20"/>
              </w:rPr>
              <w:t>Smart Blood Donation Network (BloodNet)</w:t>
            </w:r>
          </w:p>
        </w:tc>
      </w:tr>
      <w:tr>
        <w:tc>
          <w:tcPr>
            <w:tcW w:type="dxa" w:w="4968"/>
            <w:vAlign w:val="center"/>
            <w:shd w:fill="D9EAF7"/>
          </w:tcPr>
          <w:p>
            <w:pPr>
              <w:spacing w:after="40"/>
            </w:pPr>
            <w:r/>
            <w:r>
              <w:rPr>
                <w:rFonts w:ascii="Aptos" w:hAnsi="Aptos"/>
                <w:b/>
                <w:color w:val="17365D"/>
                <w:sz w:val="20"/>
              </w:rPr>
              <w:t>Primary research direction</w:t>
            </w:r>
          </w:p>
        </w:tc>
        <w:tc>
          <w:tcPr>
            <w:tcW w:type="dxa" w:w="4968"/>
            <w:vAlign w:val="center"/>
          </w:tcPr>
          <w:p>
            <w:pPr>
              <w:spacing w:after="40"/>
            </w:pPr>
            <w:r/>
            <w:r>
              <w:rPr>
                <w:rFonts w:ascii="Aptos" w:hAnsi="Aptos"/>
                <w:b w:val="0"/>
                <w:sz w:val="20"/>
              </w:rPr>
              <w:t>Explainable Donor Disengagement Prediction and Re-engagement</w:t>
            </w:r>
          </w:p>
        </w:tc>
      </w:tr>
      <w:tr>
        <w:tc>
          <w:tcPr>
            <w:tcW w:type="dxa" w:w="4968"/>
            <w:vAlign w:val="center"/>
            <w:shd w:fill="D9EAF7"/>
          </w:tcPr>
          <w:p>
            <w:pPr>
              <w:spacing w:after="40"/>
            </w:pPr>
            <w:r/>
            <w:r>
              <w:rPr>
                <w:rFonts w:ascii="Aptos" w:hAnsi="Aptos"/>
                <w:b/>
                <w:color w:val="17365D"/>
                <w:sz w:val="20"/>
              </w:rPr>
              <w:t>Research domain</w:t>
            </w:r>
          </w:p>
        </w:tc>
        <w:tc>
          <w:tcPr>
            <w:tcW w:type="dxa" w:w="4968"/>
            <w:vAlign w:val="center"/>
          </w:tcPr>
          <w:p>
            <w:pPr>
              <w:spacing w:after="40"/>
            </w:pPr>
            <w:r/>
            <w:r>
              <w:rPr>
                <w:rFonts w:ascii="Aptos" w:hAnsi="Aptos"/>
                <w:b w:val="0"/>
                <w:sz w:val="20"/>
              </w:rPr>
              <w:t>Machine Learning • Explainable AI • Responsible Digital Health</w:t>
            </w:r>
          </w:p>
        </w:tc>
      </w:tr>
    </w:tbl>
    <w:p>
      <w:r>
        <w:br w:type="page"/>
      </w:r>
    </w:p>
    <w:p>
      <w:pPr>
        <w:pStyle w:val="Heading1"/>
      </w:pPr>
      <w:r>
        <w:t>1. Purpose of This Proposal</w:t>
      </w:r>
    </w:p>
    <w:p>
      <w:r>
        <w:t>This report presents three possible machine-learning research directions that could extend the Smart Blood Donation Network (BloodNet). The ideas are intended as future research aims for the FYP and as possible foundations for a research paper. They are proposals, not completed experiments: their novelty, feasibility, and final scope must be confirmed through a literature review, supervisor feedback, and a check of available data.</w:t>
      </w:r>
    </w:p>
    <w:p>
      <w:r>
        <w:t>The second idea is placed first because it offers a focused combination of predictive machine learning, explainability, and a practical feature for the BloodNet platform. It can be developed in stages, while still leaving room for a meaningful research question.</w:t>
      </w:r>
    </w:p>
    <w:p>
      <w:pPr>
        <w:pStyle w:val="Heading1"/>
      </w:pPr>
      <w:r>
        <w:t>2. Recommended Direction — Idea 2</w:t>
      </w:r>
    </w:p>
    <w:p>
      <w:pPr>
        <w:pStyle w:val="Heading2"/>
      </w:pPr>
      <w:r>
        <w:t>Explainable Donor Disengagement Prediction and Notification-Aware Re-engagement</w:t>
      </w:r>
    </w:p>
    <w:p>
      <w:r>
        <w:t>Core concept: use historical platform activity and donation-related engagement records to estimate which registered donors may become inactive, explain the main factors behind each prediction, and test whether a respectful, well-timed re-engagement strategy performs better than a basic reminder approach.</w:t>
      </w:r>
    </w:p>
    <w:p>
      <w:pPr>
        <w:pStyle w:val="Heading2"/>
      </w:pPr>
      <w:r>
        <w:t>2.1 Problem statement</w:t>
      </w:r>
    </w:p>
    <w:p>
      <w:r>
        <w:t>A blood donation platform may have many registered donors, but registration alone does not guarantee continued participation. Some donors stop opening messages, do not respond to requests, or become inactive on the platform. If the system sends the same reminder to everyone, messages may be poorly targeted and can create notification fatigue. A machine-learning approach could help the platform understand engagement patterns and prioritize appropriate follow-up.</w:t>
      </w:r>
    </w:p>
    <w:p>
      <w:r>
        <w:t>Important distinction: not responding to an app notification does not prove that a person is unwilling to donate. Donors may be busy, temporarily ineligible, unavailable, or simply prefer another contact method. The model should predict a clearly defined engagement outcome—not label people as bad or unreliable donors.</w:t>
      </w:r>
    </w:p>
    <w:p>
      <w:pPr>
        <w:pStyle w:val="Heading2"/>
      </w:pPr>
      <w:r>
        <w:t>2.2 Proposed research question</w:t>
      </w:r>
    </w:p>
    <w:p>
      <w:r>
        <w:rPr>
          <w:b/>
          <w:color w:val="1F4E79"/>
        </w:rPr>
        <w:t>How effectively can explainable machine-learning models identify donor disengagement risk, and can an explanation-informed, notification-aware re-engagement strategy improve donor responsiveness compared with a conventional reminder strategy?</w:t>
      </w:r>
    </w:p>
    <w:p>
      <w:pPr>
        <w:pStyle w:val="Heading2"/>
      </w:pPr>
      <w:r>
        <w:t>2.3 Research objectives</w:t>
      </w:r>
    </w:p>
    <w:p>
      <w:pPr>
        <w:pStyle w:val="ListBullet"/>
        <w:spacing w:after="40"/>
      </w:pPr>
      <w:r>
        <w:t>Define donor disengagement using a measurable, time-based rule that can be justified from the available data.</w:t>
      </w:r>
    </w:p>
    <w:p>
      <w:pPr>
        <w:pStyle w:val="ListBullet"/>
        <w:spacing w:after="40"/>
      </w:pPr>
      <w:r>
        <w:t>Prepare and analyze donor engagement records, including activity dates, previous responses, and notification history where available.</w:t>
      </w:r>
    </w:p>
    <w:p>
      <w:pPr>
        <w:pStyle w:val="ListBullet"/>
        <w:spacing w:after="40"/>
      </w:pPr>
      <w:r>
        <w:t>Train and compare interpretable baseline and tree-based models for predicting disengagement risk.</w:t>
      </w:r>
    </w:p>
    <w:p>
      <w:pPr>
        <w:pStyle w:val="ListBullet"/>
        <w:spacing w:after="40"/>
      </w:pPr>
      <w:r>
        <w:t>Use Explainable AI methods, especially SHAP, to identify which recorded features contribute most to individual predictions and overall model behavior.</w:t>
      </w:r>
    </w:p>
    <w:p>
      <w:pPr>
        <w:pStyle w:val="ListBullet"/>
        <w:spacing w:after="40"/>
      </w:pPr>
      <w:r>
        <w:t>Design a consent-aware re-engagement strategy that considers message timing, contact preferences, recent notifications, and opt-outs.</w:t>
      </w:r>
    </w:p>
    <w:p>
      <w:pPr>
        <w:pStyle w:val="ListBullet"/>
        <w:spacing w:after="40"/>
      </w:pPr>
      <w:r>
        <w:t>Evaluate predictive performance and, if feasible, compare re-engagement outcomes through a properly designed pilot or offline simulation.</w:t>
      </w:r>
    </w:p>
    <w:p>
      <w:pPr>
        <w:pStyle w:val="Heading2"/>
      </w:pPr>
      <w:r>
        <w:t>2.4 How the proposed system would work</w:t>
      </w:r>
    </w:p>
    <w:tbl>
      <w:tblPr>
        <w:tblStyle w:val="LightShading-Accent1"/>
        <w:tblW w:type="auto" w:w="0"/>
        <w:tblLook w:firstColumn="1" w:firstRow="1" w:lastColumn="0" w:lastRow="0" w:noHBand="0" w:noVBand="1" w:val="04A0"/>
      </w:tblPr>
      <w:tblGrid>
        <w:gridCol w:w="4968"/>
        <w:gridCol w:w="4968"/>
      </w:tblGrid>
      <w:tr>
        <w:tc>
          <w:tcPr>
            <w:tcW w:type="dxa" w:w="2232"/>
            <w:vAlign w:val="center"/>
            <w:shd w:fill="17365D"/>
          </w:tcPr>
          <w:p>
            <w:pPr>
              <w:spacing w:after="40"/>
            </w:pPr>
            <w:r/>
            <w:r>
              <w:rPr>
                <w:rFonts w:ascii="Aptos" w:hAnsi="Aptos"/>
                <w:b/>
                <w:color w:val="FFFFFF"/>
                <w:sz w:val="18"/>
              </w:rPr>
              <w:t>Stage</w:t>
            </w:r>
          </w:p>
        </w:tc>
        <w:tc>
          <w:tcPr>
            <w:tcW w:type="dxa" w:w="8208"/>
            <w:vAlign w:val="center"/>
            <w:shd w:fill="17365D"/>
          </w:tcPr>
          <w:p>
            <w:pPr>
              <w:spacing w:after="40"/>
            </w:pPr>
            <w:r/>
            <w:r>
              <w:rPr>
                <w:rFonts w:ascii="Aptos" w:hAnsi="Aptos"/>
                <w:b/>
                <w:color w:val="FFFFFF"/>
                <w:sz w:val="18"/>
              </w:rPr>
              <w:t>Proposed activity</w:t>
            </w:r>
          </w:p>
        </w:tc>
      </w:tr>
      <w:tr>
        <w:tc>
          <w:tcPr>
            <w:tcW w:type="dxa" w:w="2232"/>
            <w:vAlign w:val="center"/>
          </w:tcPr>
          <w:p>
            <w:pPr>
              <w:spacing w:after="40"/>
            </w:pPr>
            <w:r/>
            <w:r>
              <w:rPr>
                <w:rFonts w:ascii="Aptos" w:hAnsi="Aptos"/>
                <w:b w:val="0"/>
                <w:sz w:val="18"/>
              </w:rPr>
              <w:t>Data collection</w:t>
            </w:r>
          </w:p>
        </w:tc>
        <w:tc>
          <w:tcPr>
            <w:tcW w:type="dxa" w:w="8208"/>
            <w:vAlign w:val="center"/>
          </w:tcPr>
          <w:p>
            <w:pPr>
              <w:spacing w:after="40"/>
            </w:pPr>
            <w:r/>
            <w:r>
              <w:rPr>
                <w:rFonts w:ascii="Aptos" w:hAnsi="Aptos"/>
                <w:b w:val="0"/>
                <w:sz w:val="18"/>
              </w:rPr>
              <w:t>Use authorized, appropriately de-identified records of donor profiles, platform activity, notification delivery, and responses. Collect only fields needed for the study.</w:t>
            </w:r>
          </w:p>
        </w:tc>
      </w:tr>
      <w:tr>
        <w:tc>
          <w:tcPr>
            <w:tcW w:type="dxa" w:w="2232"/>
            <w:vAlign w:val="center"/>
          </w:tcPr>
          <w:p>
            <w:pPr>
              <w:spacing w:after="40"/>
            </w:pPr>
            <w:r/>
            <w:r>
              <w:rPr>
                <w:rFonts w:ascii="Aptos" w:hAnsi="Aptos"/>
                <w:b w:val="0"/>
                <w:sz w:val="18"/>
              </w:rPr>
              <w:t>Define the target</w:t>
            </w:r>
          </w:p>
        </w:tc>
        <w:tc>
          <w:tcPr>
            <w:tcW w:type="dxa" w:w="8208"/>
            <w:vAlign w:val="center"/>
          </w:tcPr>
          <w:p>
            <w:pPr>
              <w:spacing w:after="40"/>
            </w:pPr>
            <w:r/>
            <w:r>
              <w:rPr>
                <w:rFonts w:ascii="Aptos" w:hAnsi="Aptos"/>
                <w:b w:val="0"/>
                <w:sz w:val="18"/>
              </w:rPr>
              <w:t>For example, define inactivity as no recorded platform engagement for a pre-specified period. The period must be chosen after reviewing the actual data and domain needs.</w:t>
            </w:r>
          </w:p>
        </w:tc>
      </w:tr>
      <w:tr>
        <w:tc>
          <w:tcPr>
            <w:tcW w:type="dxa" w:w="2232"/>
            <w:vAlign w:val="center"/>
          </w:tcPr>
          <w:p>
            <w:pPr>
              <w:spacing w:after="40"/>
            </w:pPr>
            <w:r/>
            <w:r>
              <w:rPr>
                <w:rFonts w:ascii="Aptos" w:hAnsi="Aptos"/>
                <w:b w:val="0"/>
                <w:sz w:val="18"/>
              </w:rPr>
              <w:t>Feature engineering</w:t>
            </w:r>
          </w:p>
        </w:tc>
        <w:tc>
          <w:tcPr>
            <w:tcW w:type="dxa" w:w="8208"/>
            <w:vAlign w:val="center"/>
          </w:tcPr>
          <w:p>
            <w:pPr>
              <w:spacing w:after="40"/>
            </w:pPr>
            <w:r/>
            <w:r>
              <w:rPr>
                <w:rFonts w:ascii="Aptos" w:hAnsi="Aptos"/>
                <w:b w:val="0"/>
                <w:sz w:val="18"/>
              </w:rPr>
              <w:t>Create time-aware features such as days since last activity, number of recent responses, previous notification frequency, and engagement trend. Do not use information that would only become available after the prediction date.</w:t>
            </w:r>
          </w:p>
        </w:tc>
      </w:tr>
      <w:tr>
        <w:tc>
          <w:tcPr>
            <w:tcW w:type="dxa" w:w="2232"/>
            <w:vAlign w:val="center"/>
          </w:tcPr>
          <w:p>
            <w:pPr>
              <w:spacing w:after="40"/>
            </w:pPr>
            <w:r/>
            <w:r>
              <w:rPr>
                <w:rFonts w:ascii="Aptos" w:hAnsi="Aptos"/>
                <w:b w:val="0"/>
                <w:sz w:val="18"/>
              </w:rPr>
              <w:t>Model training</w:t>
            </w:r>
          </w:p>
        </w:tc>
        <w:tc>
          <w:tcPr>
            <w:tcW w:type="dxa" w:w="8208"/>
            <w:vAlign w:val="center"/>
          </w:tcPr>
          <w:p>
            <w:pPr>
              <w:spacing w:after="40"/>
            </w:pPr>
            <w:r/>
            <w:r>
              <w:rPr>
                <w:rFonts w:ascii="Aptos" w:hAnsi="Aptos"/>
                <w:b w:val="0"/>
                <w:sz w:val="18"/>
              </w:rPr>
              <w:t>Start with Logistic Regression as a baseline, then compare Random Forest and LightGBM or another suitable gradient-boosted tree model.</w:t>
            </w:r>
          </w:p>
        </w:tc>
      </w:tr>
      <w:tr>
        <w:tc>
          <w:tcPr>
            <w:tcW w:type="dxa" w:w="2232"/>
            <w:vAlign w:val="center"/>
          </w:tcPr>
          <w:p>
            <w:pPr>
              <w:spacing w:after="40"/>
            </w:pPr>
            <w:r/>
            <w:r>
              <w:rPr>
                <w:rFonts w:ascii="Aptos" w:hAnsi="Aptos"/>
                <w:b w:val="0"/>
                <w:sz w:val="18"/>
              </w:rPr>
              <w:t>Explainability</w:t>
            </w:r>
          </w:p>
        </w:tc>
        <w:tc>
          <w:tcPr>
            <w:tcW w:type="dxa" w:w="8208"/>
            <w:vAlign w:val="center"/>
          </w:tcPr>
          <w:p>
            <w:pPr>
              <w:spacing w:after="40"/>
            </w:pPr>
            <w:r/>
            <w:r>
              <w:rPr>
                <w:rFonts w:ascii="Aptos" w:hAnsi="Aptos"/>
                <w:b w:val="0"/>
                <w:sz w:val="18"/>
              </w:rPr>
              <w:t>Use SHAP to show which features influenced a prediction. Explain that these are model associations, not proof of causal reasons for donor behavior.</w:t>
            </w:r>
          </w:p>
        </w:tc>
      </w:tr>
      <w:tr>
        <w:tc>
          <w:tcPr>
            <w:tcW w:type="dxa" w:w="2232"/>
            <w:vAlign w:val="center"/>
          </w:tcPr>
          <w:p>
            <w:pPr>
              <w:spacing w:after="40"/>
            </w:pPr>
            <w:r/>
            <w:r>
              <w:rPr>
                <w:rFonts w:ascii="Aptos" w:hAnsi="Aptos"/>
                <w:b w:val="0"/>
                <w:sz w:val="18"/>
              </w:rPr>
              <w:t>Re-engagement policy</w:t>
            </w:r>
          </w:p>
        </w:tc>
        <w:tc>
          <w:tcPr>
            <w:tcW w:type="dxa" w:w="8208"/>
            <w:vAlign w:val="center"/>
          </w:tcPr>
          <w:p>
            <w:pPr>
              <w:spacing w:after="40"/>
            </w:pPr>
            <w:r/>
            <w:r>
              <w:rPr>
                <w:rFonts w:ascii="Aptos" w:hAnsi="Aptos"/>
                <w:b w:val="0"/>
                <w:sz w:val="18"/>
              </w:rPr>
              <w:t>Generate a limited, respectful next-step recommendation—for example, wait, send one reminder through a preferred channel, or do not contact because of an opt-out.</w:t>
            </w:r>
          </w:p>
        </w:tc>
      </w:tr>
      <w:tr>
        <w:tc>
          <w:tcPr>
            <w:tcW w:type="dxa" w:w="2232"/>
            <w:vAlign w:val="center"/>
          </w:tcPr>
          <w:p>
            <w:pPr>
              <w:spacing w:after="40"/>
            </w:pPr>
            <w:r/>
            <w:r>
              <w:rPr>
                <w:rFonts w:ascii="Aptos" w:hAnsi="Aptos"/>
                <w:b w:val="0"/>
                <w:sz w:val="18"/>
              </w:rPr>
              <w:t>Evaluation and dashboard</w:t>
            </w:r>
          </w:p>
        </w:tc>
        <w:tc>
          <w:tcPr>
            <w:tcW w:type="dxa" w:w="8208"/>
            <w:vAlign w:val="center"/>
          </w:tcPr>
          <w:p>
            <w:pPr>
              <w:spacing w:after="40"/>
            </w:pPr>
            <w:r/>
            <w:r>
              <w:rPr>
                <w:rFonts w:ascii="Aptos" w:hAnsi="Aptos"/>
                <w:b w:val="0"/>
                <w:sz w:val="18"/>
              </w:rPr>
              <w:t>Display risk bands, explanation summaries, and aggregate evaluation metrics in a simple dashboard. Avoid exposing sensitive donor information unnecessarily.</w:t>
            </w:r>
          </w:p>
        </w:tc>
      </w:tr>
    </w:tbl>
    <w:p/>
    <w:p>
      <w:pPr>
        <w:pStyle w:val="Heading2"/>
      </w:pPr>
      <w:r>
        <w:t>2.5 Candidate input features</w:t>
      </w:r>
    </w:p>
    <w:tbl>
      <w:tblPr>
        <w:tblStyle w:val="LightShading-Accent1"/>
        <w:tblW w:type="auto" w:w="0"/>
        <w:tblLook w:firstColumn="1" w:firstRow="1" w:lastColumn="0" w:lastRow="0" w:noHBand="0" w:noVBand="1" w:val="04A0"/>
      </w:tblPr>
      <w:tblGrid>
        <w:gridCol w:w="3312"/>
        <w:gridCol w:w="3312"/>
        <w:gridCol w:w="3312"/>
      </w:tblGrid>
      <w:tr>
        <w:tc>
          <w:tcPr>
            <w:tcW w:type="dxa" w:w="1944"/>
            <w:vAlign w:val="center"/>
            <w:shd w:fill="17365D"/>
          </w:tcPr>
          <w:p>
            <w:pPr>
              <w:spacing w:after="40"/>
            </w:pPr>
            <w:r/>
            <w:r>
              <w:rPr>
                <w:rFonts w:ascii="Aptos" w:hAnsi="Aptos"/>
                <w:b/>
                <w:color w:val="FFFFFF"/>
                <w:sz w:val="18"/>
              </w:rPr>
              <w:t>Feature group</w:t>
            </w:r>
          </w:p>
        </w:tc>
        <w:tc>
          <w:tcPr>
            <w:tcW w:type="dxa" w:w="3960"/>
            <w:vAlign w:val="center"/>
            <w:shd w:fill="17365D"/>
          </w:tcPr>
          <w:p>
            <w:pPr>
              <w:spacing w:after="40"/>
            </w:pPr>
            <w:r/>
            <w:r>
              <w:rPr>
                <w:rFonts w:ascii="Aptos" w:hAnsi="Aptos"/>
                <w:b/>
                <w:color w:val="FFFFFF"/>
                <w:sz w:val="18"/>
              </w:rPr>
              <w:t>Possible examples</w:t>
            </w:r>
          </w:p>
        </w:tc>
        <w:tc>
          <w:tcPr>
            <w:tcW w:type="dxa" w:w="4536"/>
            <w:vAlign w:val="center"/>
            <w:shd w:fill="17365D"/>
          </w:tcPr>
          <w:p>
            <w:pPr>
              <w:spacing w:after="40"/>
            </w:pPr>
            <w:r/>
            <w:r>
              <w:rPr>
                <w:rFonts w:ascii="Aptos" w:hAnsi="Aptos"/>
                <w:b/>
                <w:color w:val="FFFFFF"/>
                <w:sz w:val="18"/>
              </w:rPr>
              <w:t>Notes</w:t>
            </w:r>
          </w:p>
        </w:tc>
      </w:tr>
      <w:tr>
        <w:tc>
          <w:tcPr>
            <w:tcW w:type="dxa" w:w="1944"/>
            <w:vAlign w:val="center"/>
          </w:tcPr>
          <w:p>
            <w:pPr>
              <w:spacing w:after="40"/>
            </w:pPr>
            <w:r/>
            <w:r>
              <w:rPr>
                <w:rFonts w:ascii="Aptos" w:hAnsi="Aptos"/>
                <w:b w:val="0"/>
                <w:sz w:val="18"/>
              </w:rPr>
              <w:t>Activity</w:t>
            </w:r>
          </w:p>
        </w:tc>
        <w:tc>
          <w:tcPr>
            <w:tcW w:type="dxa" w:w="3960"/>
            <w:vAlign w:val="center"/>
          </w:tcPr>
          <w:p>
            <w:pPr>
              <w:spacing w:after="40"/>
            </w:pPr>
            <w:r/>
            <w:r>
              <w:rPr>
                <w:rFonts w:ascii="Aptos" w:hAnsi="Aptos"/>
                <w:b w:val="0"/>
                <w:sz w:val="18"/>
              </w:rPr>
              <w:t>Days since last login or meaningful platform action; activity count in a recent window</w:t>
            </w:r>
          </w:p>
        </w:tc>
        <w:tc>
          <w:tcPr>
            <w:tcW w:type="dxa" w:w="4536"/>
            <w:vAlign w:val="center"/>
          </w:tcPr>
          <w:p>
            <w:pPr>
              <w:spacing w:after="40"/>
            </w:pPr>
            <w:r/>
            <w:r>
              <w:rPr>
                <w:rFonts w:ascii="Aptos" w:hAnsi="Aptos"/>
                <w:b w:val="0"/>
                <w:sz w:val="18"/>
              </w:rPr>
              <w:t>Use only if the platform records these events.</w:t>
            </w:r>
          </w:p>
        </w:tc>
      </w:tr>
      <w:tr>
        <w:tc>
          <w:tcPr>
            <w:tcW w:type="dxa" w:w="1944"/>
            <w:vAlign w:val="center"/>
          </w:tcPr>
          <w:p>
            <w:pPr>
              <w:spacing w:after="40"/>
            </w:pPr>
            <w:r/>
            <w:r>
              <w:rPr>
                <w:rFonts w:ascii="Aptos" w:hAnsi="Aptos"/>
                <w:b w:val="0"/>
                <w:sz w:val="18"/>
              </w:rPr>
              <w:t>Response history</w:t>
            </w:r>
          </w:p>
        </w:tc>
        <w:tc>
          <w:tcPr>
            <w:tcW w:type="dxa" w:w="3960"/>
            <w:vAlign w:val="center"/>
          </w:tcPr>
          <w:p>
            <w:pPr>
              <w:spacing w:after="40"/>
            </w:pPr>
            <w:r/>
            <w:r>
              <w:rPr>
                <w:rFonts w:ascii="Aptos" w:hAnsi="Aptos"/>
                <w:b w:val="0"/>
                <w:sz w:val="18"/>
              </w:rPr>
              <w:t>Past response to donation requests; response delay</w:t>
            </w:r>
          </w:p>
        </w:tc>
        <w:tc>
          <w:tcPr>
            <w:tcW w:type="dxa" w:w="4536"/>
            <w:vAlign w:val="center"/>
          </w:tcPr>
          <w:p>
            <w:pPr>
              <w:spacing w:after="40"/>
            </w:pPr>
            <w:r/>
            <w:r>
              <w:rPr>
                <w:rFonts w:ascii="Aptos" w:hAnsi="Aptos"/>
                <w:b w:val="0"/>
                <w:sz w:val="18"/>
              </w:rPr>
              <w:t>A response is not the same as a completed donation.</w:t>
            </w:r>
          </w:p>
        </w:tc>
      </w:tr>
      <w:tr>
        <w:tc>
          <w:tcPr>
            <w:tcW w:type="dxa" w:w="1944"/>
            <w:vAlign w:val="center"/>
          </w:tcPr>
          <w:p>
            <w:pPr>
              <w:spacing w:after="40"/>
            </w:pPr>
            <w:r/>
            <w:r>
              <w:rPr>
                <w:rFonts w:ascii="Aptos" w:hAnsi="Aptos"/>
                <w:b w:val="0"/>
                <w:sz w:val="18"/>
              </w:rPr>
              <w:t>Notification history</w:t>
            </w:r>
          </w:p>
        </w:tc>
        <w:tc>
          <w:tcPr>
            <w:tcW w:type="dxa" w:w="3960"/>
            <w:vAlign w:val="center"/>
          </w:tcPr>
          <w:p>
            <w:pPr>
              <w:spacing w:after="40"/>
            </w:pPr>
            <w:r/>
            <w:r>
              <w:rPr>
                <w:rFonts w:ascii="Aptos" w:hAnsi="Aptos"/>
                <w:b w:val="0"/>
                <w:sz w:val="18"/>
              </w:rPr>
              <w:t>Number and timing of recent messages; delivery status; channel preference</w:t>
            </w:r>
          </w:p>
        </w:tc>
        <w:tc>
          <w:tcPr>
            <w:tcW w:type="dxa" w:w="4536"/>
            <w:vAlign w:val="center"/>
          </w:tcPr>
          <w:p>
            <w:pPr>
              <w:spacing w:after="40"/>
            </w:pPr>
            <w:r/>
            <w:r>
              <w:rPr>
                <w:rFonts w:ascii="Aptos" w:hAnsi="Aptos"/>
                <w:b w:val="0"/>
                <w:sz w:val="18"/>
              </w:rPr>
              <w:t>Avoid repeated messaging and respect opt-outs.</w:t>
            </w:r>
          </w:p>
        </w:tc>
      </w:tr>
      <w:tr>
        <w:tc>
          <w:tcPr>
            <w:tcW w:type="dxa" w:w="1944"/>
            <w:vAlign w:val="center"/>
          </w:tcPr>
          <w:p>
            <w:pPr>
              <w:spacing w:after="40"/>
            </w:pPr>
            <w:r/>
            <w:r>
              <w:rPr>
                <w:rFonts w:ascii="Aptos" w:hAnsi="Aptos"/>
                <w:b w:val="0"/>
                <w:sz w:val="18"/>
              </w:rPr>
              <w:t>Donation-related history</w:t>
            </w:r>
          </w:p>
        </w:tc>
        <w:tc>
          <w:tcPr>
            <w:tcW w:type="dxa" w:w="3960"/>
            <w:vAlign w:val="center"/>
          </w:tcPr>
          <w:p>
            <w:pPr>
              <w:spacing w:after="40"/>
            </w:pPr>
            <w:r/>
            <w:r>
              <w:rPr>
                <w:rFonts w:ascii="Aptos" w:hAnsi="Aptos"/>
                <w:b w:val="0"/>
                <w:sz w:val="18"/>
              </w:rPr>
              <w:t>Previous donation dates or recorded participation</w:t>
            </w:r>
          </w:p>
        </w:tc>
        <w:tc>
          <w:tcPr>
            <w:tcW w:type="dxa" w:w="4536"/>
            <w:vAlign w:val="center"/>
          </w:tcPr>
          <w:p>
            <w:pPr>
              <w:spacing w:after="40"/>
            </w:pPr>
            <w:r/>
            <w:r>
              <w:rPr>
                <w:rFonts w:ascii="Aptos" w:hAnsi="Aptos"/>
                <w:b w:val="0"/>
                <w:sz w:val="18"/>
              </w:rPr>
              <w:t>Use only authorized, relevant records; do not infer medical eligibility.</w:t>
            </w:r>
          </w:p>
        </w:tc>
      </w:tr>
      <w:tr>
        <w:tc>
          <w:tcPr>
            <w:tcW w:type="dxa" w:w="1944"/>
            <w:vAlign w:val="center"/>
          </w:tcPr>
          <w:p>
            <w:pPr>
              <w:spacing w:after="40"/>
            </w:pPr>
            <w:r/>
            <w:r>
              <w:rPr>
                <w:rFonts w:ascii="Aptos" w:hAnsi="Aptos"/>
                <w:b w:val="0"/>
                <w:sz w:val="18"/>
              </w:rPr>
              <w:t>Context</w:t>
            </w:r>
          </w:p>
        </w:tc>
        <w:tc>
          <w:tcPr>
            <w:tcW w:type="dxa" w:w="3960"/>
            <w:vAlign w:val="center"/>
          </w:tcPr>
          <w:p>
            <w:pPr>
              <w:spacing w:after="40"/>
            </w:pPr>
            <w:r/>
            <w:r>
              <w:rPr>
                <w:rFonts w:ascii="Aptos" w:hAnsi="Aptos"/>
                <w:b w:val="0"/>
                <w:sz w:val="18"/>
              </w:rPr>
              <w:t>Season or campaign period; broad region if justified</w:t>
            </w:r>
          </w:p>
        </w:tc>
        <w:tc>
          <w:tcPr>
            <w:tcW w:type="dxa" w:w="4536"/>
            <w:vAlign w:val="center"/>
          </w:tcPr>
          <w:p>
            <w:pPr>
              <w:spacing w:after="40"/>
            </w:pPr>
            <w:r/>
            <w:r>
              <w:rPr>
                <w:rFonts w:ascii="Aptos" w:hAnsi="Aptos"/>
                <w:b w:val="0"/>
                <w:sz w:val="18"/>
              </w:rPr>
              <w:t>Check for bias and avoid unnecessary personal data.</w:t>
            </w:r>
          </w:p>
        </w:tc>
      </w:tr>
    </w:tbl>
    <w:p/>
    <w:p>
      <w:pPr>
        <w:pStyle w:val="Heading2"/>
      </w:pPr>
      <w:r>
        <w:t>2.6 Models and tools</w:t>
      </w:r>
    </w:p>
    <w:tbl>
      <w:tblPr>
        <w:tblStyle w:val="LightShading-Accent1"/>
        <w:tblW w:type="auto" w:w="0"/>
        <w:tblLook w:firstColumn="1" w:firstRow="1" w:lastColumn="0" w:lastRow="0" w:noHBand="0" w:noVBand="1" w:val="04A0"/>
      </w:tblPr>
      <w:tblGrid>
        <w:gridCol w:w="3312"/>
        <w:gridCol w:w="3312"/>
        <w:gridCol w:w="3312"/>
      </w:tblGrid>
      <w:tr>
        <w:tc>
          <w:tcPr>
            <w:tcW w:type="dxa" w:w="1944"/>
            <w:vAlign w:val="center"/>
            <w:shd w:fill="17365D"/>
          </w:tcPr>
          <w:p>
            <w:pPr>
              <w:spacing w:after="40"/>
            </w:pPr>
            <w:r/>
            <w:r>
              <w:rPr>
                <w:rFonts w:ascii="Aptos" w:hAnsi="Aptos"/>
                <w:b/>
                <w:color w:val="FFFFFF"/>
                <w:sz w:val="18"/>
              </w:rPr>
              <w:t>Component</w:t>
            </w:r>
          </w:p>
        </w:tc>
        <w:tc>
          <w:tcPr>
            <w:tcW w:type="dxa" w:w="3744"/>
            <w:vAlign w:val="center"/>
            <w:shd w:fill="17365D"/>
          </w:tcPr>
          <w:p>
            <w:pPr>
              <w:spacing w:after="40"/>
            </w:pPr>
            <w:r/>
            <w:r>
              <w:rPr>
                <w:rFonts w:ascii="Aptos" w:hAnsi="Aptos"/>
                <w:b/>
                <w:color w:val="FFFFFF"/>
                <w:sz w:val="18"/>
              </w:rPr>
              <w:t>Candidate choice</w:t>
            </w:r>
          </w:p>
        </w:tc>
        <w:tc>
          <w:tcPr>
            <w:tcW w:type="dxa" w:w="4752"/>
            <w:vAlign w:val="center"/>
            <w:shd w:fill="17365D"/>
          </w:tcPr>
          <w:p>
            <w:pPr>
              <w:spacing w:after="40"/>
            </w:pPr>
            <w:r/>
            <w:r>
              <w:rPr>
                <w:rFonts w:ascii="Aptos" w:hAnsi="Aptos"/>
                <w:b/>
                <w:color w:val="FFFFFF"/>
                <w:sz w:val="18"/>
              </w:rPr>
              <w:t>Purpose</w:t>
            </w:r>
          </w:p>
        </w:tc>
      </w:tr>
      <w:tr>
        <w:tc>
          <w:tcPr>
            <w:tcW w:type="dxa" w:w="1944"/>
            <w:vAlign w:val="center"/>
          </w:tcPr>
          <w:p>
            <w:pPr>
              <w:spacing w:after="40"/>
            </w:pPr>
            <w:r/>
            <w:r>
              <w:rPr>
                <w:rFonts w:ascii="Aptos" w:hAnsi="Aptos"/>
                <w:b w:val="0"/>
                <w:sz w:val="18"/>
              </w:rPr>
              <w:t>Data preparation</w:t>
            </w:r>
          </w:p>
        </w:tc>
        <w:tc>
          <w:tcPr>
            <w:tcW w:type="dxa" w:w="3744"/>
            <w:vAlign w:val="center"/>
          </w:tcPr>
          <w:p>
            <w:pPr>
              <w:spacing w:after="40"/>
            </w:pPr>
            <w:r/>
            <w:r>
              <w:rPr>
                <w:rFonts w:ascii="Aptos" w:hAnsi="Aptos"/>
                <w:b w:val="0"/>
                <w:sz w:val="18"/>
              </w:rPr>
              <w:t>Python, Pandas, NumPy</w:t>
            </w:r>
          </w:p>
        </w:tc>
        <w:tc>
          <w:tcPr>
            <w:tcW w:type="dxa" w:w="4752"/>
            <w:vAlign w:val="center"/>
          </w:tcPr>
          <w:p>
            <w:pPr>
              <w:spacing w:after="40"/>
            </w:pPr>
            <w:r/>
            <w:r>
              <w:rPr>
                <w:rFonts w:ascii="Aptos" w:hAnsi="Aptos"/>
                <w:b w:val="0"/>
                <w:sz w:val="18"/>
              </w:rPr>
              <w:t>Clean data, create features, inspect missing values and class balance.</w:t>
            </w:r>
          </w:p>
        </w:tc>
      </w:tr>
      <w:tr>
        <w:tc>
          <w:tcPr>
            <w:tcW w:type="dxa" w:w="1944"/>
            <w:vAlign w:val="center"/>
          </w:tcPr>
          <w:p>
            <w:pPr>
              <w:spacing w:after="40"/>
            </w:pPr>
            <w:r/>
            <w:r>
              <w:rPr>
                <w:rFonts w:ascii="Aptos" w:hAnsi="Aptos"/>
                <w:b w:val="0"/>
                <w:sz w:val="18"/>
              </w:rPr>
              <w:t>Baseline model</w:t>
            </w:r>
          </w:p>
        </w:tc>
        <w:tc>
          <w:tcPr>
            <w:tcW w:type="dxa" w:w="3744"/>
            <w:vAlign w:val="center"/>
          </w:tcPr>
          <w:p>
            <w:pPr>
              <w:spacing w:after="40"/>
            </w:pPr>
            <w:r/>
            <w:r>
              <w:rPr>
                <w:rFonts w:ascii="Aptos" w:hAnsi="Aptos"/>
                <w:b w:val="0"/>
                <w:sz w:val="18"/>
              </w:rPr>
              <w:t>Logistic Regression</w:t>
            </w:r>
          </w:p>
        </w:tc>
        <w:tc>
          <w:tcPr>
            <w:tcW w:type="dxa" w:w="4752"/>
            <w:vAlign w:val="center"/>
          </w:tcPr>
          <w:p>
            <w:pPr>
              <w:spacing w:after="40"/>
            </w:pPr>
            <w:r/>
            <w:r>
              <w:rPr>
                <w:rFonts w:ascii="Aptos" w:hAnsi="Aptos"/>
                <w:b w:val="0"/>
                <w:sz w:val="18"/>
              </w:rPr>
              <w:t>Provide a simple, explainable benchmark.</w:t>
            </w:r>
          </w:p>
        </w:tc>
      </w:tr>
      <w:tr>
        <w:tc>
          <w:tcPr>
            <w:tcW w:type="dxa" w:w="1944"/>
            <w:vAlign w:val="center"/>
          </w:tcPr>
          <w:p>
            <w:pPr>
              <w:spacing w:after="40"/>
            </w:pPr>
            <w:r/>
            <w:r>
              <w:rPr>
                <w:rFonts w:ascii="Aptos" w:hAnsi="Aptos"/>
                <w:b w:val="0"/>
                <w:sz w:val="18"/>
              </w:rPr>
              <w:t>Tree-based models</w:t>
            </w:r>
          </w:p>
        </w:tc>
        <w:tc>
          <w:tcPr>
            <w:tcW w:type="dxa" w:w="3744"/>
            <w:vAlign w:val="center"/>
          </w:tcPr>
          <w:p>
            <w:pPr>
              <w:spacing w:after="40"/>
            </w:pPr>
            <w:r/>
            <w:r>
              <w:rPr>
                <w:rFonts w:ascii="Aptos" w:hAnsi="Aptos"/>
                <w:b w:val="0"/>
                <w:sz w:val="18"/>
              </w:rPr>
              <w:t>Random Forest; LightGBM or another gradient-boosted model</w:t>
            </w:r>
          </w:p>
        </w:tc>
        <w:tc>
          <w:tcPr>
            <w:tcW w:type="dxa" w:w="4752"/>
            <w:vAlign w:val="center"/>
          </w:tcPr>
          <w:p>
            <w:pPr>
              <w:spacing w:after="40"/>
            </w:pPr>
            <w:r/>
            <w:r>
              <w:rPr>
                <w:rFonts w:ascii="Aptos" w:hAnsi="Aptos"/>
                <w:b w:val="0"/>
                <w:sz w:val="18"/>
              </w:rPr>
              <w:t>Compare performance on tabular records.</w:t>
            </w:r>
          </w:p>
        </w:tc>
      </w:tr>
      <w:tr>
        <w:tc>
          <w:tcPr>
            <w:tcW w:type="dxa" w:w="1944"/>
            <w:vAlign w:val="center"/>
          </w:tcPr>
          <w:p>
            <w:pPr>
              <w:spacing w:after="40"/>
            </w:pPr>
            <w:r/>
            <w:r>
              <w:rPr>
                <w:rFonts w:ascii="Aptos" w:hAnsi="Aptos"/>
                <w:b w:val="0"/>
                <w:sz w:val="18"/>
              </w:rPr>
              <w:t>Explainability</w:t>
            </w:r>
          </w:p>
        </w:tc>
        <w:tc>
          <w:tcPr>
            <w:tcW w:type="dxa" w:w="3744"/>
            <w:vAlign w:val="center"/>
          </w:tcPr>
          <w:p>
            <w:pPr>
              <w:spacing w:after="40"/>
            </w:pPr>
            <w:r/>
            <w:r>
              <w:rPr>
                <w:rFonts w:ascii="Aptos" w:hAnsi="Aptos"/>
                <w:b w:val="0"/>
                <w:sz w:val="18"/>
              </w:rPr>
              <w:t>SHAP</w:t>
            </w:r>
          </w:p>
        </w:tc>
        <w:tc>
          <w:tcPr>
            <w:tcW w:type="dxa" w:w="4752"/>
            <w:vAlign w:val="center"/>
          </w:tcPr>
          <w:p>
            <w:pPr>
              <w:spacing w:after="40"/>
            </w:pPr>
            <w:r/>
            <w:r>
              <w:rPr>
                <w:rFonts w:ascii="Aptos" w:hAnsi="Aptos"/>
                <w:b w:val="0"/>
                <w:sz w:val="18"/>
              </w:rPr>
              <w:t>Summarize feature contributions at dataset and individual-prediction levels.</w:t>
            </w:r>
          </w:p>
        </w:tc>
      </w:tr>
      <w:tr>
        <w:tc>
          <w:tcPr>
            <w:tcW w:type="dxa" w:w="1944"/>
            <w:vAlign w:val="center"/>
          </w:tcPr>
          <w:p>
            <w:pPr>
              <w:spacing w:after="40"/>
            </w:pPr>
            <w:r/>
            <w:r>
              <w:rPr>
                <w:rFonts w:ascii="Aptos" w:hAnsi="Aptos"/>
                <w:b w:val="0"/>
                <w:sz w:val="18"/>
              </w:rPr>
              <w:t>Evaluation</w:t>
            </w:r>
          </w:p>
        </w:tc>
        <w:tc>
          <w:tcPr>
            <w:tcW w:type="dxa" w:w="3744"/>
            <w:vAlign w:val="center"/>
          </w:tcPr>
          <w:p>
            <w:pPr>
              <w:spacing w:after="40"/>
            </w:pPr>
            <w:r/>
            <w:r>
              <w:rPr>
                <w:rFonts w:ascii="Aptos" w:hAnsi="Aptos"/>
                <w:b w:val="0"/>
                <w:sz w:val="18"/>
              </w:rPr>
              <w:t>Scikit-learn; imbalanced-learn if appropriate</w:t>
            </w:r>
          </w:p>
        </w:tc>
        <w:tc>
          <w:tcPr>
            <w:tcW w:type="dxa" w:w="4752"/>
            <w:vAlign w:val="center"/>
          </w:tcPr>
          <w:p>
            <w:pPr>
              <w:spacing w:after="40"/>
            </w:pPr>
            <w:r/>
            <w:r>
              <w:rPr>
                <w:rFonts w:ascii="Aptos" w:hAnsi="Aptos"/>
                <w:b w:val="0"/>
                <w:sz w:val="18"/>
              </w:rPr>
              <w:t>Measure classification performance and handle imbalance carefully.</w:t>
            </w:r>
          </w:p>
        </w:tc>
      </w:tr>
      <w:tr>
        <w:tc>
          <w:tcPr>
            <w:tcW w:type="dxa" w:w="1944"/>
            <w:vAlign w:val="center"/>
          </w:tcPr>
          <w:p>
            <w:pPr>
              <w:spacing w:after="40"/>
            </w:pPr>
            <w:r/>
            <w:r>
              <w:rPr>
                <w:rFonts w:ascii="Aptos" w:hAnsi="Aptos"/>
                <w:b w:val="0"/>
                <w:sz w:val="18"/>
              </w:rPr>
              <w:t>Prototype</w:t>
            </w:r>
          </w:p>
        </w:tc>
        <w:tc>
          <w:tcPr>
            <w:tcW w:type="dxa" w:w="3744"/>
            <w:vAlign w:val="center"/>
          </w:tcPr>
          <w:p>
            <w:pPr>
              <w:spacing w:after="40"/>
            </w:pPr>
            <w:r/>
            <w:r>
              <w:rPr>
                <w:rFonts w:ascii="Aptos" w:hAnsi="Aptos"/>
                <w:b w:val="0"/>
                <w:sz w:val="18"/>
              </w:rPr>
              <w:t>Streamlit or the existing BloodNet interface</w:t>
            </w:r>
          </w:p>
        </w:tc>
        <w:tc>
          <w:tcPr>
            <w:tcW w:type="dxa" w:w="4752"/>
            <w:vAlign w:val="center"/>
          </w:tcPr>
          <w:p>
            <w:pPr>
              <w:spacing w:after="40"/>
            </w:pPr>
            <w:r/>
            <w:r>
              <w:rPr>
                <w:rFonts w:ascii="Aptos" w:hAnsi="Aptos"/>
                <w:b w:val="0"/>
                <w:sz w:val="18"/>
              </w:rPr>
              <w:t>Show risk summaries and explanation views to a supervisor or evaluator.</w:t>
            </w:r>
          </w:p>
        </w:tc>
      </w:tr>
      <w:tr>
        <w:tc>
          <w:tcPr>
            <w:tcW w:type="dxa" w:w="1944"/>
            <w:vAlign w:val="center"/>
          </w:tcPr>
          <w:p>
            <w:pPr>
              <w:spacing w:after="40"/>
            </w:pPr>
            <w:r/>
            <w:r>
              <w:rPr>
                <w:rFonts w:ascii="Aptos" w:hAnsi="Aptos"/>
                <w:b w:val="0"/>
                <w:sz w:val="18"/>
              </w:rPr>
              <w:t>Notifications</w:t>
            </w:r>
          </w:p>
        </w:tc>
        <w:tc>
          <w:tcPr>
            <w:tcW w:type="dxa" w:w="3744"/>
            <w:vAlign w:val="center"/>
          </w:tcPr>
          <w:p>
            <w:pPr>
              <w:spacing w:after="40"/>
            </w:pPr>
            <w:r/>
            <w:r>
              <w:rPr>
                <w:rFonts w:ascii="Aptos" w:hAnsi="Aptos"/>
                <w:b w:val="0"/>
                <w:sz w:val="18"/>
              </w:rPr>
              <w:t>Existing notification service or Firebase, if already suitable</w:t>
            </w:r>
          </w:p>
        </w:tc>
        <w:tc>
          <w:tcPr>
            <w:tcW w:type="dxa" w:w="4752"/>
            <w:vAlign w:val="center"/>
          </w:tcPr>
          <w:p>
            <w:pPr>
              <w:spacing w:after="40"/>
            </w:pPr>
            <w:r/>
            <w:r>
              <w:rPr>
                <w:rFonts w:ascii="Aptos" w:hAnsi="Aptos"/>
                <w:b w:val="0"/>
                <w:sz w:val="18"/>
              </w:rPr>
              <w:t>Deliver messages only where consent, preferences, and technical setup allow.</w:t>
            </w:r>
          </w:p>
        </w:tc>
      </w:tr>
    </w:tbl>
    <w:p/>
    <w:p>
      <w:pPr>
        <w:pStyle w:val="Heading2"/>
      </w:pPr>
      <w:r>
        <w:t>2.7 Evaluation plan</w:t>
      </w:r>
    </w:p>
    <w:p>
      <w:r>
        <w:t>The evaluation should separate two questions: can the model predict the chosen outcome, and does using its output improve the re-engagement process?</w:t>
      </w:r>
    </w:p>
    <w:tbl>
      <w:tblPr>
        <w:tblStyle w:val="LightShading-Accent1"/>
        <w:tblW w:type="auto" w:w="0"/>
        <w:tblLook w:firstColumn="1" w:firstRow="1" w:lastColumn="0" w:lastRow="0" w:noHBand="0" w:noVBand="1" w:val="04A0"/>
      </w:tblPr>
      <w:tblGrid>
        <w:gridCol w:w="3312"/>
        <w:gridCol w:w="3312"/>
        <w:gridCol w:w="3312"/>
      </w:tblGrid>
      <w:tr>
        <w:tc>
          <w:tcPr>
            <w:tcW w:type="dxa" w:w="1944"/>
            <w:vAlign w:val="center"/>
            <w:shd w:fill="17365D"/>
          </w:tcPr>
          <w:p>
            <w:pPr>
              <w:spacing w:after="40"/>
            </w:pPr>
            <w:r/>
            <w:r>
              <w:rPr>
                <w:rFonts w:ascii="Aptos" w:hAnsi="Aptos"/>
                <w:b/>
                <w:color w:val="FFFFFF"/>
                <w:sz w:val="18"/>
              </w:rPr>
              <w:t>Evaluation area</w:t>
            </w:r>
          </w:p>
        </w:tc>
        <w:tc>
          <w:tcPr>
            <w:tcW w:type="dxa" w:w="3888"/>
            <w:vAlign w:val="center"/>
            <w:shd w:fill="17365D"/>
          </w:tcPr>
          <w:p>
            <w:pPr>
              <w:spacing w:after="40"/>
            </w:pPr>
            <w:r/>
            <w:r>
              <w:rPr>
                <w:rFonts w:ascii="Aptos" w:hAnsi="Aptos"/>
                <w:b/>
                <w:color w:val="FFFFFF"/>
                <w:sz w:val="18"/>
              </w:rPr>
              <w:t>Measures or comparison</w:t>
            </w:r>
          </w:p>
        </w:tc>
        <w:tc>
          <w:tcPr>
            <w:tcW w:type="dxa" w:w="4608"/>
            <w:vAlign w:val="center"/>
            <w:shd w:fill="17365D"/>
          </w:tcPr>
          <w:p>
            <w:pPr>
              <w:spacing w:after="40"/>
            </w:pPr>
            <w:r/>
            <w:r>
              <w:rPr>
                <w:rFonts w:ascii="Aptos" w:hAnsi="Aptos"/>
                <w:b/>
                <w:color w:val="FFFFFF"/>
                <w:sz w:val="18"/>
              </w:rPr>
              <w:t>Why it matters</w:t>
            </w:r>
          </w:p>
        </w:tc>
      </w:tr>
      <w:tr>
        <w:tc>
          <w:tcPr>
            <w:tcW w:type="dxa" w:w="1944"/>
            <w:vAlign w:val="center"/>
          </w:tcPr>
          <w:p>
            <w:pPr>
              <w:spacing w:after="40"/>
            </w:pPr>
            <w:r/>
            <w:r>
              <w:rPr>
                <w:rFonts w:ascii="Aptos" w:hAnsi="Aptos"/>
                <w:b w:val="0"/>
                <w:sz w:val="18"/>
              </w:rPr>
              <w:t>Predictive quality</w:t>
            </w:r>
          </w:p>
        </w:tc>
        <w:tc>
          <w:tcPr>
            <w:tcW w:type="dxa" w:w="3888"/>
            <w:vAlign w:val="center"/>
          </w:tcPr>
          <w:p>
            <w:pPr>
              <w:spacing w:after="40"/>
            </w:pPr>
            <w:r/>
            <w:r>
              <w:rPr>
                <w:rFonts w:ascii="Aptos" w:hAnsi="Aptos"/>
                <w:b w:val="0"/>
                <w:sz w:val="18"/>
              </w:rPr>
              <w:t>Precision, recall, F1-score, PR-AUC; ROC-AUC as a secondary measure</w:t>
            </w:r>
          </w:p>
        </w:tc>
        <w:tc>
          <w:tcPr>
            <w:tcW w:type="dxa" w:w="4608"/>
            <w:vAlign w:val="center"/>
          </w:tcPr>
          <w:p>
            <w:pPr>
              <w:spacing w:after="40"/>
            </w:pPr>
            <w:r/>
            <w:r>
              <w:rPr>
                <w:rFonts w:ascii="Aptos" w:hAnsi="Aptos"/>
                <w:b w:val="0"/>
                <w:sz w:val="18"/>
              </w:rPr>
              <w:t>Measures how well the model identifies the defined disengagement outcome, particularly if classes are imbalanced.</w:t>
            </w:r>
          </w:p>
        </w:tc>
      </w:tr>
      <w:tr>
        <w:tc>
          <w:tcPr>
            <w:tcW w:type="dxa" w:w="1944"/>
            <w:vAlign w:val="center"/>
          </w:tcPr>
          <w:p>
            <w:pPr>
              <w:spacing w:after="40"/>
            </w:pPr>
            <w:r/>
            <w:r>
              <w:rPr>
                <w:rFonts w:ascii="Aptos" w:hAnsi="Aptos"/>
                <w:b w:val="0"/>
                <w:sz w:val="18"/>
              </w:rPr>
              <w:t>Probability quality</w:t>
            </w:r>
          </w:p>
        </w:tc>
        <w:tc>
          <w:tcPr>
            <w:tcW w:type="dxa" w:w="3888"/>
            <w:vAlign w:val="center"/>
          </w:tcPr>
          <w:p>
            <w:pPr>
              <w:spacing w:after="40"/>
            </w:pPr>
            <w:r/>
            <w:r>
              <w:rPr>
                <w:rFonts w:ascii="Aptos" w:hAnsi="Aptos"/>
                <w:b w:val="0"/>
                <w:sz w:val="18"/>
              </w:rPr>
              <w:t>Calibration curve or Brier score</w:t>
            </w:r>
          </w:p>
        </w:tc>
        <w:tc>
          <w:tcPr>
            <w:tcW w:type="dxa" w:w="4608"/>
            <w:vAlign w:val="center"/>
          </w:tcPr>
          <w:p>
            <w:pPr>
              <w:spacing w:after="40"/>
            </w:pPr>
            <w:r/>
            <w:r>
              <w:rPr>
                <w:rFonts w:ascii="Aptos" w:hAnsi="Aptos"/>
                <w:b w:val="0"/>
                <w:sz w:val="18"/>
              </w:rPr>
              <w:t>Checks whether predicted risk probabilities are meaningful.</w:t>
            </w:r>
          </w:p>
        </w:tc>
      </w:tr>
      <w:tr>
        <w:tc>
          <w:tcPr>
            <w:tcW w:type="dxa" w:w="1944"/>
            <w:vAlign w:val="center"/>
          </w:tcPr>
          <w:p>
            <w:pPr>
              <w:spacing w:after="40"/>
            </w:pPr>
            <w:r/>
            <w:r>
              <w:rPr>
                <w:rFonts w:ascii="Aptos" w:hAnsi="Aptos"/>
                <w:b w:val="0"/>
                <w:sz w:val="18"/>
              </w:rPr>
              <w:t>Generalization</w:t>
            </w:r>
          </w:p>
        </w:tc>
        <w:tc>
          <w:tcPr>
            <w:tcW w:type="dxa" w:w="3888"/>
            <w:vAlign w:val="center"/>
          </w:tcPr>
          <w:p>
            <w:pPr>
              <w:spacing w:after="40"/>
            </w:pPr>
            <w:r/>
            <w:r>
              <w:rPr>
                <w:rFonts w:ascii="Aptos" w:hAnsi="Aptos"/>
                <w:b w:val="0"/>
                <w:sz w:val="18"/>
              </w:rPr>
              <w:t>Chronological train/validation/test split</w:t>
            </w:r>
          </w:p>
        </w:tc>
        <w:tc>
          <w:tcPr>
            <w:tcW w:type="dxa" w:w="4608"/>
            <w:vAlign w:val="center"/>
          </w:tcPr>
          <w:p>
            <w:pPr>
              <w:spacing w:after="40"/>
            </w:pPr>
            <w:r/>
            <w:r>
              <w:rPr>
                <w:rFonts w:ascii="Aptos" w:hAnsi="Aptos"/>
                <w:b w:val="0"/>
                <w:sz w:val="18"/>
              </w:rPr>
              <w:t>Tests performance on later records and reduces time-related leakage.</w:t>
            </w:r>
          </w:p>
        </w:tc>
      </w:tr>
      <w:tr>
        <w:tc>
          <w:tcPr>
            <w:tcW w:type="dxa" w:w="1944"/>
            <w:vAlign w:val="center"/>
          </w:tcPr>
          <w:p>
            <w:pPr>
              <w:spacing w:after="40"/>
            </w:pPr>
            <w:r/>
            <w:r>
              <w:rPr>
                <w:rFonts w:ascii="Aptos" w:hAnsi="Aptos"/>
                <w:b w:val="0"/>
                <w:sz w:val="18"/>
              </w:rPr>
              <w:t>Explainability</w:t>
            </w:r>
          </w:p>
        </w:tc>
        <w:tc>
          <w:tcPr>
            <w:tcW w:type="dxa" w:w="3888"/>
            <w:vAlign w:val="center"/>
          </w:tcPr>
          <w:p>
            <w:pPr>
              <w:spacing w:after="40"/>
            </w:pPr>
            <w:r/>
            <w:r>
              <w:rPr>
                <w:rFonts w:ascii="Aptos" w:hAnsi="Aptos"/>
                <w:b w:val="0"/>
                <w:sz w:val="18"/>
              </w:rPr>
              <w:t>Consistency and clarity of SHAP summaries; review by intended users if feasible</w:t>
            </w:r>
          </w:p>
        </w:tc>
        <w:tc>
          <w:tcPr>
            <w:tcW w:type="dxa" w:w="4608"/>
            <w:vAlign w:val="center"/>
          </w:tcPr>
          <w:p>
            <w:pPr>
              <w:spacing w:after="40"/>
            </w:pPr>
            <w:r/>
            <w:r>
              <w:rPr>
                <w:rFonts w:ascii="Aptos" w:hAnsi="Aptos"/>
                <w:b w:val="0"/>
                <w:sz w:val="18"/>
              </w:rPr>
              <w:t>Checks whether explanations are understandable and useful, not merely attractive.</w:t>
            </w:r>
          </w:p>
        </w:tc>
      </w:tr>
      <w:tr>
        <w:tc>
          <w:tcPr>
            <w:tcW w:type="dxa" w:w="1944"/>
            <w:vAlign w:val="center"/>
          </w:tcPr>
          <w:p>
            <w:pPr>
              <w:spacing w:after="40"/>
            </w:pPr>
            <w:r/>
            <w:r>
              <w:rPr>
                <w:rFonts w:ascii="Aptos" w:hAnsi="Aptos"/>
                <w:b w:val="0"/>
                <w:sz w:val="18"/>
              </w:rPr>
              <w:t>Re-engagement outcome</w:t>
            </w:r>
          </w:p>
        </w:tc>
        <w:tc>
          <w:tcPr>
            <w:tcW w:type="dxa" w:w="3888"/>
            <w:vAlign w:val="center"/>
          </w:tcPr>
          <w:p>
            <w:pPr>
              <w:spacing w:after="40"/>
            </w:pPr>
            <w:r/>
            <w:r>
              <w:rPr>
                <w:rFonts w:ascii="Aptos" w:hAnsi="Aptos"/>
                <w:b w:val="0"/>
                <w:sz w:val="18"/>
              </w:rPr>
              <w:t>Response rate, time to response, opt-out rate, messages per response</w:t>
            </w:r>
          </w:p>
        </w:tc>
        <w:tc>
          <w:tcPr>
            <w:tcW w:type="dxa" w:w="4608"/>
            <w:vAlign w:val="center"/>
          </w:tcPr>
          <w:p>
            <w:pPr>
              <w:spacing w:after="40"/>
            </w:pPr>
            <w:r/>
            <w:r>
              <w:rPr>
                <w:rFonts w:ascii="Aptos" w:hAnsi="Aptos"/>
                <w:b w:val="0"/>
                <w:sz w:val="18"/>
              </w:rPr>
              <w:t>Assesses whether the strategy helps without creating excessive contact.</w:t>
            </w:r>
          </w:p>
        </w:tc>
      </w:tr>
      <w:tr>
        <w:tc>
          <w:tcPr>
            <w:tcW w:type="dxa" w:w="1944"/>
            <w:vAlign w:val="center"/>
          </w:tcPr>
          <w:p>
            <w:pPr>
              <w:spacing w:after="40"/>
            </w:pPr>
            <w:r/>
            <w:r>
              <w:rPr>
                <w:rFonts w:ascii="Aptos" w:hAnsi="Aptos"/>
                <w:b w:val="0"/>
                <w:sz w:val="18"/>
              </w:rPr>
              <w:t>Baseline comparison</w:t>
            </w:r>
          </w:p>
        </w:tc>
        <w:tc>
          <w:tcPr>
            <w:tcW w:type="dxa" w:w="3888"/>
            <w:vAlign w:val="center"/>
          </w:tcPr>
          <w:p>
            <w:pPr>
              <w:spacing w:after="40"/>
            </w:pPr>
            <w:r/>
            <w:r>
              <w:rPr>
                <w:rFonts w:ascii="Aptos" w:hAnsi="Aptos"/>
                <w:b w:val="0"/>
                <w:sz w:val="18"/>
              </w:rPr>
              <w:t>Compare against a simple rule-based reminder or current process</w:t>
            </w:r>
          </w:p>
        </w:tc>
        <w:tc>
          <w:tcPr>
            <w:tcW w:type="dxa" w:w="4608"/>
            <w:vAlign w:val="center"/>
          </w:tcPr>
          <w:p>
            <w:pPr>
              <w:spacing w:after="40"/>
            </w:pPr>
            <w:r/>
            <w:r>
              <w:rPr>
                <w:rFonts w:ascii="Aptos" w:hAnsi="Aptos"/>
                <w:b w:val="0"/>
                <w:sz w:val="18"/>
              </w:rPr>
              <w:t>Shows whether added ML complexity provides practical value.</w:t>
            </w:r>
          </w:p>
        </w:tc>
      </w:tr>
    </w:tbl>
    <w:p/>
    <w:p>
      <w:r>
        <w:t>A controlled real-world comparison should be attempted only with supervisor approval, appropriate consent, and safeguards. If only historical or synthetic data are available, the project can evaluate prediction and simulate the policy, but it must not claim that the intervention truly increased donations.</w:t>
      </w:r>
    </w:p>
    <w:p>
      <w:pPr>
        <w:pStyle w:val="Heading2"/>
      </w:pPr>
      <w:r>
        <w:t>2.8 Expected contribution and research-paper direction</w:t>
      </w:r>
    </w:p>
    <w:p>
      <w:pPr>
        <w:pStyle w:val="ListBullet"/>
        <w:spacing w:after="40"/>
      </w:pPr>
      <w:r>
        <w:t>A clearly defined donor disengagement prediction task tailored to a blood donation network.</w:t>
      </w:r>
    </w:p>
    <w:p>
      <w:pPr>
        <w:pStyle w:val="ListBullet"/>
        <w:spacing w:after="40"/>
      </w:pPr>
      <w:r>
        <w:t>A comparison of baseline and tree-based ML models using a time-aware evaluation design.</w:t>
      </w:r>
    </w:p>
    <w:p>
      <w:pPr>
        <w:pStyle w:val="ListBullet"/>
        <w:spacing w:after="40"/>
      </w:pPr>
      <w:r>
        <w:t>A transparent explanation layer that communicates feature contributions instead of returning only a risk score.</w:t>
      </w:r>
    </w:p>
    <w:p>
      <w:pPr>
        <w:pStyle w:val="ListBullet"/>
        <w:spacing w:after="40"/>
      </w:pPr>
      <w:r>
        <w:t>A notification-aware policy concept that accounts for contact frequency, preferences, and opt-outs.</w:t>
      </w:r>
    </w:p>
    <w:p>
      <w:pPr>
        <w:pStyle w:val="ListBullet"/>
        <w:spacing w:after="40"/>
      </w:pPr>
      <w:r>
        <w:t>A reproducible evaluation showing both predictive performance and practical limitations.</w:t>
      </w:r>
    </w:p>
    <w:p>
      <w:r>
        <w:t>Potential paper title: “Explainable Donor Disengagement Prediction and Notification-Aware Re-engagement in Smart Blood Donation Networks.”</w:t>
      </w:r>
    </w:p>
    <w:p>
      <w:r>
        <w:t>The paper's novelty cannot be assumed from combining known tools. A literature review must establish what previous donor-retention, explainable-healthcare ML, and notification-optimization studies already do, then identify a specific gap this project can test.</w:t>
      </w:r>
    </w:p>
    <w:p>
      <w:pPr>
        <w:pStyle w:val="Heading2"/>
      </w:pPr>
      <w:r>
        <w:t>2.9 Data feasibility and limitations</w:t>
      </w:r>
    </w:p>
    <w:p>
      <w:pPr>
        <w:pStyle w:val="ListBullet"/>
        <w:spacing w:after="40"/>
      </w:pPr>
      <w:r>
        <w:t>First inspect BloodNet's actual database and documentation. Confirm whether timestamps for activity, notifications, delivery, responses, and donation-related outcomes exist.</w:t>
      </w:r>
    </w:p>
    <w:p>
      <w:pPr>
        <w:pStyle w:val="ListBullet"/>
        <w:spacing w:after="40"/>
      </w:pPr>
      <w:r>
        <w:t>If these records do not exist, begin collecting consented, privacy-conscious event data or narrow the study to the fields that are genuinely available.</w:t>
      </w:r>
    </w:p>
    <w:p>
      <w:pPr>
        <w:pStyle w:val="ListBullet"/>
        <w:spacing w:after="40"/>
      </w:pPr>
      <w:r>
        <w:t>Synthetic data may be used to test the interface and software pipeline, but it cannot demonstrate real-world predictive validity.</w:t>
      </w:r>
    </w:p>
    <w:p>
      <w:pPr>
        <w:pStyle w:val="ListBullet"/>
        <w:spacing w:after="40"/>
      </w:pPr>
      <w:r>
        <w:t>A small or highly imbalanced dataset may not support reliable complex models. A simpler baseline and honest uncertainty reporting are preferable to overstated results.</w:t>
      </w:r>
    </w:p>
    <w:p>
      <w:pPr>
        <w:pStyle w:val="ListBullet"/>
        <w:spacing w:after="40"/>
      </w:pPr>
      <w:r>
        <w:t>Protect personal and health-related information; restrict access, minimize fields, de-identify where possible, and follow institutional approval and data-protection requirements.</w:t>
      </w:r>
    </w:p>
    <w:p>
      <w:pPr>
        <w:pStyle w:val="Heading1"/>
      </w:pPr>
      <w:r>
        <w:t>3. Idea 1 — Predictive Regional Blood Demand and Supply Forecasting</w:t>
      </w:r>
    </w:p>
    <w:p>
      <w:r>
        <w:t>Core concept: estimate future blood-component demand and, if suitable records exist, donor turnout for a region and time period. The forecasts could help a blood bank or network anticipate shortages and reduce avoidable excess stock.</w:t>
      </w:r>
    </w:p>
    <w:p>
      <w:pPr>
        <w:pStyle w:val="Heading2"/>
      </w:pPr>
      <w:r>
        <w:t>Possible research question</w:t>
      </w:r>
    </w:p>
    <w:p>
      <w:r>
        <w:t>How accurately can time-series and tabular machine-learning models forecast regional blood demand, and how could forecast-informed planning affect simulated shortage and expiry indicators?</w:t>
      </w:r>
    </w:p>
    <w:p>
      <w:pPr>
        <w:pStyle w:val="Heading2"/>
      </w:pPr>
      <w:r>
        <w:t>Proposed method</w:t>
      </w:r>
    </w:p>
    <w:p>
      <w:pPr>
        <w:pStyle w:val="ListBullet"/>
        <w:spacing w:after="40"/>
      </w:pPr>
      <w:r>
        <w:t>Gather dated historical blood requests, component or blood-group demand, stock movements, and donor turnout where legally and practically available.</w:t>
      </w:r>
    </w:p>
    <w:p>
      <w:pPr>
        <w:pStyle w:val="ListBullet"/>
        <w:spacing w:after="40"/>
      </w:pPr>
      <w:r>
        <w:t>Create time-based features such as day of week, month, holidays or campaigns where appropriate, and recent demand history.</w:t>
      </w:r>
    </w:p>
    <w:p>
      <w:pPr>
        <w:pStyle w:val="ListBullet"/>
        <w:spacing w:after="40"/>
      </w:pPr>
      <w:r>
        <w:t>Establish simple baselines (such as seasonal-naive forecasts) before testing models such as XGBoost and LSTM.</w:t>
      </w:r>
    </w:p>
    <w:p>
      <w:pPr>
        <w:pStyle w:val="ListBullet"/>
        <w:spacing w:after="40"/>
      </w:pPr>
      <w:r>
        <w:t>Evaluate with MAE and RMSE, and consider WAPE or another suitable scaled measure where zero or low counts make percentage errors unstable.</w:t>
      </w:r>
    </w:p>
    <w:p>
      <w:pPr>
        <w:pStyle w:val="ListBullet"/>
        <w:spacing w:after="40"/>
      </w:pPr>
      <w:r>
        <w:t>Use a dashboard to show forecast ranges and possible shortage alerts; treat inventory-impact calculations as a simulation unless real operational outcomes are measured.</w:t>
      </w:r>
    </w:p>
    <w:p>
      <w:pPr>
        <w:pStyle w:val="Heading2"/>
      </w:pPr>
      <w:r>
        <w:t>Tools and feasibility</w:t>
      </w:r>
    </w:p>
    <w:p>
      <w:r>
        <w:t>Python, Pandas, Scikit-learn, XGBoost, TensorFlow/Keras if an LSTM is justified, and Streamlit or Tableau for visualization. Apache Spark is probably unnecessary for a small FYP dataset unless the data volume or processing requirements justify it.</w:t>
      </w:r>
    </w:p>
    <w:p>
      <w:pPr>
        <w:pStyle w:val="Heading2"/>
      </w:pPr>
      <w:r>
        <w:t>Main challenge</w:t>
      </w:r>
    </w:p>
    <w:p>
      <w:r>
        <w:t>Reliable, sufficiently long historical data are essential. Without real time-stamped demand and inventory records, a forecasting study may become a demonstration on synthetic data rather than strong empirical research.</w:t>
      </w:r>
    </w:p>
    <w:p>
      <w:pPr>
        <w:pStyle w:val="Heading1"/>
      </w:pPr>
      <w:r>
        <w:t>4. Idea 3 — Real-Time Multi-Criteria Emergency Donor Routing</w:t>
      </w:r>
    </w:p>
    <w:p>
      <w:r>
        <w:t>Core concept: when an urgent blood request arrives, rank compatible and currently eligible potential donors using factors such as estimated travel time, availability, prior notification burden, and response status. A simulation could compare selection strategies.</w:t>
      </w:r>
    </w:p>
    <w:p>
      <w:pPr>
        <w:pStyle w:val="Heading2"/>
      </w:pPr>
      <w:r>
        <w:t>Possible research question</w:t>
      </w:r>
    </w:p>
    <w:p>
      <w:r>
        <w:t>Can a multi-criteria donor selection policy reduce the time to reach a willing, eligible donor while limiting unnecessary notifications compared with nearest-first or fixed-ranking baselines?</w:t>
      </w:r>
    </w:p>
    <w:p>
      <w:pPr>
        <w:pStyle w:val="Heading2"/>
      </w:pPr>
      <w:r>
        <w:t>Proposed method</w:t>
      </w:r>
    </w:p>
    <w:p>
      <w:pPr>
        <w:pStyle w:val="ListBullet"/>
        <w:spacing w:after="40"/>
      </w:pPr>
      <w:r>
        <w:t>Filter candidates using blood compatibility and eligibility rules defined with appropriate domain guidance; the system must not make medical eligibility decisions on its own.</w:t>
      </w:r>
    </w:p>
    <w:p>
      <w:pPr>
        <w:pStyle w:val="ListBullet"/>
        <w:spacing w:after="40"/>
      </w:pPr>
      <w:r>
        <w:t>Estimate travel time using a routing service and map data, such as OpenStreetMap with a suitable routing engine.</w:t>
      </w:r>
    </w:p>
    <w:p>
      <w:pPr>
        <w:pStyle w:val="ListBullet"/>
        <w:spacing w:after="40"/>
      </w:pPr>
      <w:r>
        <w:t>Compare simple baselines first: nearest eligible donor and a transparent weighted-ranking method.</w:t>
      </w:r>
    </w:p>
    <w:p>
      <w:pPr>
        <w:pStyle w:val="ListBullet"/>
        <w:spacing w:after="40"/>
      </w:pPr>
      <w:r>
        <w:t>Only investigate reinforcement learning, such as a DQN, if a credible simulator can model requests, donor responses, delays, and notification constraints.</w:t>
      </w:r>
    </w:p>
    <w:p>
      <w:pPr>
        <w:pStyle w:val="ListBullet"/>
        <w:spacing w:after="40"/>
      </w:pPr>
      <w:r>
        <w:t>Measure time to first willing response, request fulfillment rate, notifications per request, and repeated-contact burden.</w:t>
      </w:r>
    </w:p>
    <w:p>
      <w:pPr>
        <w:pStyle w:val="Heading2"/>
      </w:pPr>
      <w:r>
        <w:t>Tools and feasibility</w:t>
      </w:r>
    </w:p>
    <w:p>
      <w:r>
        <w:t>Python, a database with geospatial support such as PostgreSQL/PostGIS, OpenStreetMap-based routing, and a dashboard. Reinforcement learning adds substantial complexity and may not be justified if a simpler ranking method performs well.</w:t>
      </w:r>
    </w:p>
    <w:p>
      <w:pPr>
        <w:pStyle w:val="Heading2"/>
      </w:pPr>
      <w:r>
        <w:t>Main challenge</w:t>
      </w:r>
    </w:p>
    <w:p>
      <w:r>
        <w:t>The team needs a credible way to model donor availability, responses, route times, and eligibility. Simulated performance must be clearly labelled and not presented as proof of real emergency outcomes.</w:t>
      </w:r>
    </w:p>
    <w:p>
      <w:pPr>
        <w:pStyle w:val="Heading1"/>
      </w:pPr>
      <w:r>
        <w:t>5. Comparison of the Three Research Directions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1800"/>
            <w:vAlign w:val="center"/>
            <w:shd w:fill="17365D"/>
          </w:tcPr>
          <w:p>
            <w:pPr>
              <w:spacing w:after="40"/>
            </w:pPr>
            <w:r/>
            <w:r>
              <w:rPr>
                <w:rFonts w:ascii="Aptos" w:hAnsi="Aptos"/>
                <w:b/>
                <w:color w:val="FFFFFF"/>
                <w:sz w:val="18"/>
              </w:rPr>
              <w:t>Criterion</w:t>
            </w:r>
          </w:p>
        </w:tc>
        <w:tc>
          <w:tcPr>
            <w:tcW w:type="dxa" w:w="2952"/>
            <w:vAlign w:val="center"/>
            <w:shd w:fill="17365D"/>
          </w:tcPr>
          <w:p>
            <w:pPr>
              <w:spacing w:after="40"/>
            </w:pPr>
            <w:r/>
            <w:r>
              <w:rPr>
                <w:rFonts w:ascii="Aptos" w:hAnsi="Aptos"/>
                <w:b/>
                <w:color w:val="FFFFFF"/>
                <w:sz w:val="18"/>
              </w:rPr>
              <w:t>Idea 2: Disengagement</w:t>
            </w:r>
          </w:p>
        </w:tc>
        <w:tc>
          <w:tcPr>
            <w:tcW w:type="dxa" w:w="2952"/>
            <w:vAlign w:val="center"/>
            <w:shd w:fill="17365D"/>
          </w:tcPr>
          <w:p>
            <w:pPr>
              <w:spacing w:after="40"/>
            </w:pPr>
            <w:r/>
            <w:r>
              <w:rPr>
                <w:rFonts w:ascii="Aptos" w:hAnsi="Aptos"/>
                <w:b/>
                <w:color w:val="FFFFFF"/>
                <w:sz w:val="18"/>
              </w:rPr>
              <w:t>Idea 1: Forecasting</w:t>
            </w:r>
          </w:p>
        </w:tc>
        <w:tc>
          <w:tcPr>
            <w:tcW w:type="dxa" w:w="2952"/>
            <w:vAlign w:val="center"/>
            <w:shd w:fill="17365D"/>
          </w:tcPr>
          <w:p>
            <w:pPr>
              <w:spacing w:after="40"/>
            </w:pPr>
            <w:r/>
            <w:r>
              <w:rPr>
                <w:rFonts w:ascii="Aptos" w:hAnsi="Aptos"/>
                <w:b/>
                <w:color w:val="FFFFFF"/>
                <w:sz w:val="18"/>
              </w:rPr>
              <w:t>Idea 3: Routing</w:t>
            </w:r>
          </w:p>
        </w:tc>
      </w:tr>
      <w:tr>
        <w:tc>
          <w:tcPr>
            <w:tcW w:type="dxa" w:w="1800"/>
            <w:vAlign w:val="center"/>
          </w:tcPr>
          <w:p>
            <w:pPr>
              <w:spacing w:after="40"/>
            </w:pPr>
            <w:r/>
            <w:r>
              <w:rPr>
                <w:rFonts w:ascii="Aptos" w:hAnsi="Aptos"/>
                <w:b w:val="0"/>
                <w:sz w:val="18"/>
              </w:rPr>
              <w:t>Main ML task</w:t>
            </w:r>
          </w:p>
        </w:tc>
        <w:tc>
          <w:tcPr>
            <w:tcW w:type="dxa" w:w="2952"/>
            <w:vAlign w:val="center"/>
          </w:tcPr>
          <w:p>
            <w:pPr>
              <w:spacing w:after="40"/>
            </w:pPr>
            <w:r/>
            <w:r>
              <w:rPr>
                <w:rFonts w:ascii="Aptos" w:hAnsi="Aptos"/>
                <w:b w:val="0"/>
                <w:sz w:val="18"/>
              </w:rPr>
              <w:t>Classification + explainability</w:t>
            </w:r>
          </w:p>
        </w:tc>
        <w:tc>
          <w:tcPr>
            <w:tcW w:type="dxa" w:w="2952"/>
            <w:vAlign w:val="center"/>
          </w:tcPr>
          <w:p>
            <w:pPr>
              <w:spacing w:after="40"/>
            </w:pPr>
            <w:r/>
            <w:r>
              <w:rPr>
                <w:rFonts w:ascii="Aptos" w:hAnsi="Aptos"/>
                <w:b w:val="0"/>
                <w:sz w:val="18"/>
              </w:rPr>
              <w:t>Time-series / regression forecasting</w:t>
            </w:r>
          </w:p>
        </w:tc>
        <w:tc>
          <w:tcPr>
            <w:tcW w:type="dxa" w:w="2952"/>
            <w:vAlign w:val="center"/>
          </w:tcPr>
          <w:p>
            <w:pPr>
              <w:spacing w:after="40"/>
            </w:pPr>
            <w:r/>
            <w:r>
              <w:rPr>
                <w:rFonts w:ascii="Aptos" w:hAnsi="Aptos"/>
                <w:b w:val="0"/>
                <w:sz w:val="18"/>
              </w:rPr>
              <w:t>Optimization; possibly reinforcement learning</w:t>
            </w:r>
          </w:p>
        </w:tc>
      </w:tr>
      <w:tr>
        <w:tc>
          <w:tcPr>
            <w:tcW w:type="dxa" w:w="1800"/>
            <w:vAlign w:val="center"/>
          </w:tcPr>
          <w:p>
            <w:pPr>
              <w:spacing w:after="40"/>
            </w:pPr>
            <w:r/>
            <w:r>
              <w:rPr>
                <w:rFonts w:ascii="Aptos" w:hAnsi="Aptos"/>
                <w:b w:val="0"/>
                <w:sz w:val="18"/>
              </w:rPr>
              <w:t>Most important data</w:t>
            </w:r>
          </w:p>
        </w:tc>
        <w:tc>
          <w:tcPr>
            <w:tcW w:type="dxa" w:w="2952"/>
            <w:vAlign w:val="center"/>
          </w:tcPr>
          <w:p>
            <w:pPr>
              <w:spacing w:after="40"/>
            </w:pPr>
            <w:r/>
            <w:r>
              <w:rPr>
                <w:rFonts w:ascii="Aptos" w:hAnsi="Aptos"/>
                <w:b w:val="0"/>
                <w:sz w:val="18"/>
              </w:rPr>
              <w:t>Activity and response history</w:t>
            </w:r>
          </w:p>
        </w:tc>
        <w:tc>
          <w:tcPr>
            <w:tcW w:type="dxa" w:w="2952"/>
            <w:vAlign w:val="center"/>
          </w:tcPr>
          <w:p>
            <w:pPr>
              <w:spacing w:after="40"/>
            </w:pPr>
            <w:r/>
            <w:r>
              <w:rPr>
                <w:rFonts w:ascii="Aptos" w:hAnsi="Aptos"/>
                <w:b w:val="0"/>
                <w:sz w:val="18"/>
              </w:rPr>
              <w:t>Dated demand and inventory history</w:t>
            </w:r>
          </w:p>
        </w:tc>
        <w:tc>
          <w:tcPr>
            <w:tcW w:type="dxa" w:w="2952"/>
            <w:vAlign w:val="center"/>
          </w:tcPr>
          <w:p>
            <w:pPr>
              <w:spacing w:after="40"/>
            </w:pPr>
            <w:r/>
            <w:r>
              <w:rPr>
                <w:rFonts w:ascii="Aptos" w:hAnsi="Aptos"/>
                <w:b w:val="0"/>
                <w:sz w:val="18"/>
              </w:rPr>
              <w:t>Location, compatibility, availability and response simulation</w:t>
            </w:r>
          </w:p>
        </w:tc>
      </w:tr>
      <w:tr>
        <w:tc>
          <w:tcPr>
            <w:tcW w:type="dxa" w:w="1800"/>
            <w:vAlign w:val="center"/>
          </w:tcPr>
          <w:p>
            <w:pPr>
              <w:spacing w:after="40"/>
            </w:pPr>
            <w:r/>
            <w:r>
              <w:rPr>
                <w:rFonts w:ascii="Aptos" w:hAnsi="Aptos"/>
                <w:b w:val="0"/>
                <w:sz w:val="18"/>
              </w:rPr>
              <w:t>Potential strength</w:t>
            </w:r>
          </w:p>
        </w:tc>
        <w:tc>
          <w:tcPr>
            <w:tcW w:type="dxa" w:w="2952"/>
            <w:vAlign w:val="center"/>
          </w:tcPr>
          <w:p>
            <w:pPr>
              <w:spacing w:after="40"/>
            </w:pPr>
            <w:r/>
            <w:r>
              <w:rPr>
                <w:rFonts w:ascii="Aptos" w:hAnsi="Aptos"/>
                <w:b w:val="0"/>
                <w:sz w:val="18"/>
              </w:rPr>
              <w:t>Focused, interpretable, links ML to a platform feature</w:t>
            </w:r>
          </w:p>
        </w:tc>
        <w:tc>
          <w:tcPr>
            <w:tcW w:type="dxa" w:w="2952"/>
            <w:vAlign w:val="center"/>
          </w:tcPr>
          <w:p>
            <w:pPr>
              <w:spacing w:after="40"/>
            </w:pPr>
            <w:r/>
            <w:r>
              <w:rPr>
                <w:rFonts w:ascii="Aptos" w:hAnsi="Aptos"/>
                <w:b w:val="0"/>
                <w:sz w:val="18"/>
              </w:rPr>
              <w:t>Directly connected to stock planning</w:t>
            </w:r>
          </w:p>
        </w:tc>
        <w:tc>
          <w:tcPr>
            <w:tcW w:type="dxa" w:w="2952"/>
            <w:vAlign w:val="center"/>
          </w:tcPr>
          <w:p>
            <w:pPr>
              <w:spacing w:after="40"/>
            </w:pPr>
            <w:r/>
            <w:r>
              <w:rPr>
                <w:rFonts w:ascii="Aptos" w:hAnsi="Aptos"/>
                <w:b w:val="0"/>
                <w:sz w:val="18"/>
              </w:rPr>
              <w:t>Strong real-time optimization problem</w:t>
            </w:r>
          </w:p>
        </w:tc>
      </w:tr>
      <w:tr>
        <w:tc>
          <w:tcPr>
            <w:tcW w:type="dxa" w:w="1800"/>
            <w:vAlign w:val="center"/>
          </w:tcPr>
          <w:p>
            <w:pPr>
              <w:spacing w:after="40"/>
            </w:pPr>
            <w:r/>
            <w:r>
              <w:rPr>
                <w:rFonts w:ascii="Aptos" w:hAnsi="Aptos"/>
                <w:b w:val="0"/>
                <w:sz w:val="18"/>
              </w:rPr>
              <w:t>Main risk</w:t>
            </w:r>
          </w:p>
        </w:tc>
        <w:tc>
          <w:tcPr>
            <w:tcW w:type="dxa" w:w="2952"/>
            <w:vAlign w:val="center"/>
          </w:tcPr>
          <w:p>
            <w:pPr>
              <w:spacing w:after="40"/>
            </w:pPr>
            <w:r/>
            <w:r>
              <w:rPr>
                <w:rFonts w:ascii="Aptos" w:hAnsi="Aptos"/>
                <w:b w:val="0"/>
                <w:sz w:val="18"/>
              </w:rPr>
              <w:t>No historical engagement labels</w:t>
            </w:r>
          </w:p>
        </w:tc>
        <w:tc>
          <w:tcPr>
            <w:tcW w:type="dxa" w:w="2952"/>
            <w:vAlign w:val="center"/>
          </w:tcPr>
          <w:p>
            <w:pPr>
              <w:spacing w:after="40"/>
            </w:pPr>
            <w:r/>
            <w:r>
              <w:rPr>
                <w:rFonts w:ascii="Aptos" w:hAnsi="Aptos"/>
                <w:b w:val="0"/>
                <w:sz w:val="18"/>
              </w:rPr>
              <w:t>Insufficient long-term demand/stock data</w:t>
            </w:r>
          </w:p>
        </w:tc>
        <w:tc>
          <w:tcPr>
            <w:tcW w:type="dxa" w:w="2952"/>
            <w:vAlign w:val="center"/>
          </w:tcPr>
          <w:p>
            <w:pPr>
              <w:spacing w:after="40"/>
            </w:pPr>
            <w:r/>
            <w:r>
              <w:rPr>
                <w:rFonts w:ascii="Aptos" w:hAnsi="Aptos"/>
                <w:b w:val="0"/>
                <w:sz w:val="18"/>
              </w:rPr>
              <w:t>High complexity and unrealistic simulation assumptions</w:t>
            </w:r>
          </w:p>
        </w:tc>
      </w:tr>
      <w:tr>
        <w:tc>
          <w:tcPr>
            <w:tcW w:type="dxa" w:w="1800"/>
            <w:vAlign w:val="center"/>
          </w:tcPr>
          <w:p>
            <w:pPr>
              <w:spacing w:after="40"/>
            </w:pPr>
            <w:r/>
            <w:r>
              <w:rPr>
                <w:rFonts w:ascii="Aptos" w:hAnsi="Aptos"/>
                <w:b w:val="0"/>
                <w:sz w:val="18"/>
              </w:rPr>
              <w:t>Suggested scope</w:t>
            </w:r>
          </w:p>
        </w:tc>
        <w:tc>
          <w:tcPr>
            <w:tcW w:type="dxa" w:w="2952"/>
            <w:vAlign w:val="center"/>
          </w:tcPr>
          <w:p>
            <w:pPr>
              <w:spacing w:after="40"/>
            </w:pPr>
            <w:r/>
            <w:r>
              <w:rPr>
                <w:rFonts w:ascii="Aptos" w:hAnsi="Aptos"/>
                <w:b w:val="0"/>
                <w:sz w:val="18"/>
              </w:rPr>
              <w:t>Start with baseline models + SHAP; add policy evaluation if feasible</w:t>
            </w:r>
          </w:p>
        </w:tc>
        <w:tc>
          <w:tcPr>
            <w:tcW w:type="dxa" w:w="2952"/>
            <w:vAlign w:val="center"/>
          </w:tcPr>
          <w:p>
            <w:pPr>
              <w:spacing w:after="40"/>
            </w:pPr>
            <w:r/>
            <w:r>
              <w:rPr>
                <w:rFonts w:ascii="Aptos" w:hAnsi="Aptos"/>
                <w:b w:val="0"/>
                <w:sz w:val="18"/>
              </w:rPr>
              <w:t>Start with seasonal baseline + XGBoost; add LSTM only if justified</w:t>
            </w:r>
          </w:p>
        </w:tc>
        <w:tc>
          <w:tcPr>
            <w:tcW w:type="dxa" w:w="2952"/>
            <w:vAlign w:val="center"/>
          </w:tcPr>
          <w:p>
            <w:pPr>
              <w:spacing w:after="40"/>
            </w:pPr>
            <w:r/>
            <w:r>
              <w:rPr>
                <w:rFonts w:ascii="Aptos" w:hAnsi="Aptos"/>
                <w:b w:val="0"/>
                <w:sz w:val="18"/>
              </w:rPr>
              <w:t>Start with rule-based ranking; add RL only if needed</w:t>
            </w:r>
          </w:p>
        </w:tc>
      </w:tr>
    </w:tbl>
    <w:p/>
    <w:p>
      <w:pPr>
        <w:pStyle w:val="Heading1"/>
      </w:pPr>
      <w:r>
        <w:t>6. Recommended FYP Research Plan</w:t>
      </w:r>
    </w:p>
    <w:p>
      <w:pPr>
        <w:pStyle w:val="ListNumber"/>
        <w:spacing w:after="40"/>
      </w:pPr>
      <w:r>
        <w:t>Phase 1 — Feasibility check: inspect the BloodNet schema and sample records; list which timestamps, responses, and outcomes are available.</w:t>
      </w:r>
    </w:p>
    <w:p>
      <w:pPr>
        <w:pStyle w:val="ListNumber"/>
        <w:spacing w:after="40"/>
      </w:pPr>
      <w:r>
        <w:t>Phase 2 — Literature review: search for donor disengagement/retention prediction, explainable ML in healthcare, and notification-aware engagement; record datasets, methods, metrics, and limitations.</w:t>
      </w:r>
    </w:p>
    <w:p>
      <w:pPr>
        <w:pStyle w:val="ListNumber"/>
        <w:spacing w:after="40"/>
      </w:pPr>
      <w:r>
        <w:t>Phase 3 — Finalize research gap: choose a narrow, defensible question with the supervisor and confirm any ethics or data permissions.</w:t>
      </w:r>
    </w:p>
    <w:p>
      <w:pPr>
        <w:pStyle w:val="ListNumber"/>
        <w:spacing w:after="40"/>
      </w:pPr>
      <w:r>
        <w:t>Phase 4 — Dataset preparation: define the prediction date and target window; document data cleaning, missing values, class balance, and privacy measures.</w:t>
      </w:r>
    </w:p>
    <w:p>
      <w:pPr>
        <w:pStyle w:val="ListNumber"/>
        <w:spacing w:after="40"/>
      </w:pPr>
      <w:r>
        <w:t>Phase 5 — Baseline experiments: evaluate a simple rule or Logistic Regression before adding more complex models.</w:t>
      </w:r>
    </w:p>
    <w:p>
      <w:pPr>
        <w:pStyle w:val="ListNumber"/>
        <w:spacing w:after="40"/>
      </w:pPr>
      <w:r>
        <w:t>Phase 6 — Model comparison and explanation: test suitable tree-based models and SHAP using chronological splits and leakage checks.</w:t>
      </w:r>
    </w:p>
    <w:p>
      <w:pPr>
        <w:pStyle w:val="ListNumber"/>
        <w:spacing w:after="40"/>
      </w:pPr>
      <w:r>
        <w:t>Phase 7 — Prototype: add a small dashboard to demonstrate risk summaries and notification-aware recommendations.</w:t>
      </w:r>
    </w:p>
    <w:p>
      <w:pPr>
        <w:pStyle w:val="ListNumber"/>
        <w:spacing w:after="40"/>
      </w:pPr>
      <w:r>
        <w:t>Phase 8 — Evaluation and paper: report results, limitations, reproducibility details, and the distinction between offline prediction and real-world intervention effects.</w:t>
      </w:r>
    </w:p>
    <w:p>
      <w:pPr>
        <w:pStyle w:val="Heading1"/>
      </w:pPr>
      <w:r>
        <w:t>7. Proposed Scope for Supervisor Approval</w:t>
      </w:r>
    </w:p>
    <w:p>
      <w:r>
        <w:t>Recommended working title: Explainable Donor Disengagement Prediction and Notification-Aware Re-engagement in Smart Blood Donation Networks.</w:t>
      </w:r>
    </w:p>
    <w:p>
      <w:r>
        <w:t>Proposed scope:</w:t>
      </w:r>
    </w:p>
    <w:p>
      <w:pPr>
        <w:pStyle w:val="ListBullet"/>
        <w:spacing w:after="40"/>
      </w:pPr>
      <w:r>
        <w:t>Primary contribution: compare suitable ML models for a precisely defined disengagement outcome.</w:t>
      </w:r>
    </w:p>
    <w:p>
      <w:pPr>
        <w:pStyle w:val="ListBullet"/>
        <w:spacing w:after="40"/>
      </w:pPr>
      <w:r>
        <w:t>Explainability contribution: analyze predictions using SHAP and present explanations in a simple interface.</w:t>
      </w:r>
    </w:p>
    <w:p>
      <w:pPr>
        <w:pStyle w:val="ListBullet"/>
        <w:spacing w:after="40"/>
      </w:pPr>
      <w:r>
        <w:t>Applied contribution: design and evaluate a consent-aware, notification-limited follow-up policy against a basic baseline where data permit.</w:t>
      </w:r>
    </w:p>
    <w:p>
      <w:pPr>
        <w:pStyle w:val="ListBullet"/>
        <w:spacing w:after="40"/>
      </w:pPr>
      <w:r>
        <w:t>Out of scope unless data and time support it: claiming improved clinical outcomes, predicting medical eligibility, autonomous medical decisions, or using complex deep learning without a clear benefit.</w:t>
      </w:r>
    </w:p>
    <w:p>
      <w:pPr>
        <w:pStyle w:val="Heading1"/>
      </w:pPr>
      <w:r>
        <w:t>8. Short Presentation Summary</w:t>
      </w:r>
    </w:p>
    <w:p>
      <w:r>
        <w:t>My proposed research direction for BloodNet is explainable donor disengagement prediction. The idea is to use historical platform engagement and response data to identify patterns associated with inactivity, compare machine-learning models, and use SHAP to explain the predictions. Based on those explanations and donor contact preferences, the platform could recommend limited and respectful follow-up instead of sending the same reminders to everyone. The research would evaluate predictive performance and, if suitable data and approval are available, compare re-engagement outcomes against a simple baseline. Before committing, I will check data availability and conduct a literature review to establish a genuine research gap.</w:t>
      </w:r>
    </w:p>
    <w:p>
      <w:pPr>
        <w:pStyle w:val="Heading1"/>
      </w:pPr>
      <w:r>
        <w:t>9. Initial Reading and Verification Links</w:t>
      </w:r>
    </w:p>
    <w:p>
      <w:r>
        <w:t>These are starting points for the literature review and technical verification, not a claim that the proposed idea is novel. Review recent papers and their references before finalizing the research gap.</w:t>
      </w:r>
    </w:p>
    <w:p>
      <w:pPr>
        <w:pStyle w:val="ListBullet"/>
        <w:spacing w:after="60"/>
      </w:pPr>
      <w:r>
        <w:rPr>
          <w:b/>
        </w:rPr>
        <w:t xml:space="preserve">SHAP — A Unified Approach to Interpreting Model Predictions (paper): </w:t>
      </w:r>
      <w:r>
        <w:t>https://arxiv.org/abs/1705.07874</w:t>
      </w:r>
    </w:p>
    <w:p>
      <w:pPr>
        <w:pStyle w:val="ListBullet"/>
        <w:spacing w:after="60"/>
      </w:pPr>
      <w:r>
        <w:rPr>
          <w:b/>
        </w:rPr>
        <w:t xml:space="preserve">SHAP documentation: </w:t>
      </w:r>
      <w:r>
        <w:t>https://shap.readthedocs.io/</w:t>
      </w:r>
    </w:p>
    <w:p>
      <w:pPr>
        <w:pStyle w:val="ListBullet"/>
        <w:spacing w:after="60"/>
      </w:pPr>
      <w:r>
        <w:rPr>
          <w:b/>
        </w:rPr>
        <w:t xml:space="preserve">Scikit-learn model evaluation documentation: </w:t>
      </w:r>
      <w:r>
        <w:t>https://scikit-learn.org/stable/modules/model_evaluation.html</w:t>
      </w:r>
    </w:p>
    <w:p>
      <w:pPr>
        <w:pStyle w:val="ListBullet"/>
        <w:spacing w:after="60"/>
      </w:pPr>
      <w:r>
        <w:rPr>
          <w:b/>
        </w:rPr>
        <w:t xml:space="preserve">Scikit-learn time-series cross-validation: </w:t>
      </w:r>
      <w:r>
        <w:t>https://scikit-learn.org/stable/modules/generated/sklearn.model_selection.TimeSeriesSplit.html</w:t>
      </w:r>
    </w:p>
    <w:p>
      <w:pPr>
        <w:pStyle w:val="ListBullet"/>
        <w:spacing w:after="60"/>
      </w:pPr>
      <w:r>
        <w:rPr>
          <w:b/>
        </w:rPr>
        <w:t xml:space="preserve">LightGBM documentation: </w:t>
      </w:r>
      <w:r>
        <w:t>https://lightgbm.readthedocs.io/</w:t>
      </w:r>
    </w:p>
    <w:p>
      <w:pPr>
        <w:pStyle w:val="ListBullet"/>
        <w:spacing w:after="60"/>
      </w:pPr>
      <w:r>
        <w:rPr>
          <w:b/>
        </w:rPr>
        <w:t xml:space="preserve">WHO — Blood safety and availability: </w:t>
      </w:r>
      <w:r>
        <w:t>https://www.who.int/news-room/fact-sheets/detail/blood-safety-and-availability</w:t>
      </w:r>
    </w:p>
    <w:p>
      <w:pPr>
        <w:pStyle w:val="ListBullet"/>
        <w:spacing w:after="60"/>
      </w:pPr>
      <w:r>
        <w:rPr>
          <w:b/>
        </w:rPr>
        <w:t xml:space="preserve">Google Scholar search: blood donor retention machine learning: </w:t>
      </w:r>
      <w:r>
        <w:t>https://scholar.google.com/scholar?q=blood+donor+retention+machine+learning</w:t>
      </w:r>
    </w:p>
    <w:p>
      <w:pPr>
        <w:pStyle w:val="ListBullet"/>
        <w:spacing w:after="60"/>
      </w:pPr>
      <w:r>
        <w:rPr>
          <w:b/>
        </w:rPr>
        <w:t xml:space="preserve">Google Scholar search: blood donor attrition explainable AI: </w:t>
      </w:r>
      <w:r>
        <w:t>https://scholar.google.com/scholar?q=blood+donor+attrition+explainable+AI</w:t>
      </w:r>
    </w:p>
    <w:p>
      <w:pPr>
        <w:pStyle w:val="ListBullet"/>
        <w:spacing w:after="60"/>
      </w:pPr>
      <w:r>
        <w:rPr>
          <w:b/>
        </w:rPr>
        <w:t xml:space="preserve">Google Scholar search: blood demand forecasting machine learning: </w:t>
      </w:r>
      <w:r>
        <w:t>https://scholar.google.com/scholar?q=blood+demand+forecasting+machine+learning</w:t>
      </w:r>
    </w:p>
    <w:p/>
    <w:p>
      <w:pPr>
        <w:jc w:val="center"/>
      </w:pPr>
      <w:r>
        <w:rPr>
          <w:i/>
          <w:color w:val="666666"/>
        </w:rPr>
        <w:t>End of proposal — for discussion and refinement with the project supervisor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BloodNet | Proposed ML Research Directions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