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Transparent Medical Image Classification via Explainable AI</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Literature Review &amp; Related Work</w:t>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Author: Eman Ayman Ahmed Abukhousa</w:t>
      </w:r>
    </w:p>
    <w:p w:rsidR="00000000" w:rsidDel="00000000" w:rsidP="00000000" w:rsidRDefault="00000000" w:rsidRPr="00000000" w14:paraId="00000005">
      <w:pPr>
        <w:jc w:val="center"/>
        <w:rPr>
          <w:sz w:val="18"/>
          <w:szCs w:val="18"/>
        </w:rPr>
      </w:pPr>
      <w:r w:rsidDel="00000000" w:rsidR="00000000" w:rsidRPr="00000000">
        <w:rPr>
          <w:sz w:val="18"/>
          <w:szCs w:val="18"/>
          <w:rtl w:val="0"/>
        </w:rPr>
        <w:t xml:space="preserve">Program: BSc Data Science &amp; Artificial Intelligence, IITG — Year 3</w:t>
      </w:r>
    </w:p>
    <w:p w:rsidR="00000000" w:rsidDel="00000000" w:rsidP="00000000" w:rsidRDefault="00000000" w:rsidRPr="00000000" w14:paraId="00000006">
      <w:pPr>
        <w:jc w:val="center"/>
        <w:rPr>
          <w:sz w:val="18"/>
          <w:szCs w:val="18"/>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This literature review is organised around three main themes:</w:t>
      </w:r>
    </w:p>
    <w:p w:rsidR="00000000" w:rsidDel="00000000" w:rsidP="00000000" w:rsidRDefault="00000000" w:rsidRPr="00000000" w14:paraId="00000009">
      <w:pPr>
        <w:spacing w:after="240" w:before="240" w:lineRule="auto"/>
        <w:rPr/>
      </w:pPr>
      <w:r w:rsidDel="00000000" w:rsidR="00000000" w:rsidRPr="00000000">
        <w:rPr>
          <w:rtl w:val="0"/>
        </w:rPr>
        <w:t xml:space="preserve"> (1) Medical image classification using deep learning</w:t>
        <w:br w:type="textWrapping"/>
        <w:t xml:space="preserve"> (2) Explainable AI in healthcare</w:t>
        <w:br w:type="textWrapping"/>
        <w:t xml:space="preserve"> (3) Comparison of XAI methods</w:t>
      </w:r>
    </w:p>
    <w:p w:rsidR="00000000" w:rsidDel="00000000" w:rsidP="00000000" w:rsidRDefault="00000000" w:rsidRPr="00000000" w14:paraId="0000000A">
      <w:pPr>
        <w:spacing w:after="240" w:before="240" w:lineRule="auto"/>
        <w:rPr/>
      </w:pPr>
      <w:r w:rsidDel="00000000" w:rsidR="00000000" w:rsidRPr="00000000">
        <w:rPr>
          <w:rtl w:val="0"/>
        </w:rPr>
        <w:t xml:space="preserve">Most prior work focuses on single-method explainability with limited analysis of cross-method agreement — a gap this project directly addresses.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keepNext w:val="0"/>
        <w:spacing w:after="240" w:before="240" w:line="240" w:lineRule="auto"/>
        <w:rPr>
          <w:b w:val="1"/>
          <w:bCs w:val="1"/>
        </w:rPr>
      </w:pPr>
      <w:r w:rsidDel="00000000" w:rsidR="00000000" w:rsidRPr="00000000">
        <w:rPr>
          <w:b w:val="1"/>
          <w:bCs w:val="1"/>
          <w:rtl w:val="0"/>
        </w:rPr>
        <w:t xml:space="preserve">Theme 1: Medical Image Classification using Deep Learning </w:t>
      </w:r>
    </w:p>
    <w:p w:rsidR="00000000" w:rsidDel="00000000" w:rsidP="00000000" w:rsidRDefault="00000000" w:rsidRPr="00000000" w14:paraId="0000000D">
      <w:pPr>
        <w:keepNext w:val="0"/>
        <w:spacing w:after="240" w:before="240" w:line="240" w:lineRule="auto"/>
        <w:rPr/>
      </w:pPr>
      <w:r w:rsidDel="00000000" w:rsidR="00000000" w:rsidRPr="00000000">
        <w:rPr>
          <w:rtl w:val="0"/>
        </w:rPr>
        <w:t xml:space="preserve">The use of convolutional neural networks for medical image classification has grown significantly over the past decade. He et al. (2016) introduced</w:t>
      </w:r>
      <w:r w:rsidDel="00000000" w:rsidR="00000000" w:rsidRPr="00000000">
        <w:rPr>
          <w:b w:val="1"/>
          <w:bCs w:val="1"/>
          <w:rtl w:val="0"/>
        </w:rPr>
        <w:t xml:space="preserve"> ResNet</w:t>
      </w:r>
      <w:r w:rsidDel="00000000" w:rsidR="00000000" w:rsidRPr="00000000">
        <w:rPr>
          <w:rtl w:val="0"/>
        </w:rPr>
        <w:t xml:space="preserve">, demonstrating that deep residual networks with skip connections could achieve state-of-the-art performance on image classification tasks. This architecture has since become the foundation for medical imaging applications due to its ability to train very deep networks without degradation.</w:t>
      </w:r>
    </w:p>
    <w:p w:rsidR="00000000" w:rsidDel="00000000" w:rsidP="00000000" w:rsidRDefault="00000000" w:rsidRPr="00000000" w14:paraId="0000000E">
      <w:pPr>
        <w:spacing w:after="240" w:before="240" w:lineRule="auto"/>
        <w:rPr/>
      </w:pPr>
      <w:r w:rsidDel="00000000" w:rsidR="00000000" w:rsidRPr="00000000">
        <w:rPr>
          <w:rtl w:val="0"/>
        </w:rPr>
        <w:t xml:space="preserve">Rajpurkar et al. (2017) demonstrated that a deep learning model trained on chest X-rays could detect pneumonia at a level comparable to practising radiologists, achieving an AUC of 0.769. This work established the clinical potential of CNN-based diagnosis but did not address model transparency or Explainability.</w:t>
      </w:r>
    </w:p>
    <w:p w:rsidR="00000000" w:rsidDel="00000000" w:rsidP="00000000" w:rsidRDefault="00000000" w:rsidRPr="00000000" w14:paraId="0000000F">
      <w:pPr>
        <w:spacing w:after="240" w:before="240" w:lineRule="auto"/>
        <w:rPr/>
      </w:pPr>
      <w:r w:rsidDel="00000000" w:rsidR="00000000" w:rsidRPr="00000000">
        <w:rPr>
          <w:rtl w:val="0"/>
        </w:rPr>
        <w:t xml:space="preserve">Irvin et al. (2019) released CheXpert, a large chest X-ray dataset with uncertainty labels, and demonstrated that models trained on such datasets could generalise across clinical settings. However, the black-box nature of these models remained a concern for clinical adoption.</w:t>
      </w:r>
    </w:p>
    <w:p w:rsidR="00000000" w:rsidDel="00000000" w:rsidP="00000000" w:rsidRDefault="00000000" w:rsidRPr="00000000" w14:paraId="00000010">
      <w:pPr>
        <w:spacing w:after="240" w:before="240" w:lineRule="auto"/>
        <w:rPr/>
      </w:pPr>
      <w:r w:rsidDel="00000000" w:rsidR="00000000" w:rsidRPr="00000000">
        <w:rPr>
          <w:rtl w:val="0"/>
        </w:rPr>
        <w:t xml:space="preserve">The common limitation across these works is that high classification accuracy does not imply clinical trustworthiness — models may rely on spurious correlations, and without explainability tools this cannot be detected.</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Theme 2: Explainable AI in Healthcare</w:t>
      </w:r>
    </w:p>
    <w:p w:rsidR="00000000" w:rsidDel="00000000" w:rsidP="00000000" w:rsidRDefault="00000000" w:rsidRPr="00000000" w14:paraId="00000014">
      <w:pPr>
        <w:spacing w:after="240" w:before="240" w:lineRule="auto"/>
        <w:rPr/>
      </w:pPr>
      <w:r w:rsidDel="00000000" w:rsidR="00000000" w:rsidRPr="00000000">
        <w:rPr>
          <w:rtl w:val="0"/>
        </w:rPr>
        <w:t xml:space="preserve">Selvaraju et al. (2017) introduced Gradient-weighted Class Activation Mapping </w:t>
      </w:r>
      <w:r w:rsidDel="00000000" w:rsidR="00000000" w:rsidRPr="00000000">
        <w:rPr>
          <w:b w:val="1"/>
          <w:bCs w:val="1"/>
          <w:rtl w:val="0"/>
        </w:rPr>
        <w:t xml:space="preserve">(Grad-CAM)</w:t>
      </w:r>
      <w:r w:rsidDel="00000000" w:rsidR="00000000" w:rsidRPr="00000000">
        <w:rPr>
          <w:rtl w:val="0"/>
        </w:rPr>
        <w:t xml:space="preserve">, a technique that uses gradients flowing into the final convolutional layer to produce a coarse localisation heatmap highlighting the regions most influential to the prediction. </w:t>
      </w:r>
      <w:r w:rsidDel="00000000" w:rsidR="00000000" w:rsidRPr="00000000">
        <w:rPr>
          <w:rtl w:val="0"/>
        </w:rPr>
        <w:t xml:space="preserve">Grad-CAM</w:t>
      </w:r>
      <w:r w:rsidDel="00000000" w:rsidR="00000000" w:rsidRPr="00000000">
        <w:rPr>
          <w:rtl w:val="0"/>
        </w:rPr>
        <w:t xml:space="preserve"> has been widely adopted in medical imaging due to its simplicity and visual interpretability. However, it produces low-resolution maps and can suffer from gradient saturation in high-confidence predictions — a limitation directly observed in this project.</w:t>
      </w:r>
    </w:p>
    <w:p w:rsidR="00000000" w:rsidDel="00000000" w:rsidP="00000000" w:rsidRDefault="00000000" w:rsidRPr="00000000" w14:paraId="00000015">
      <w:pPr>
        <w:spacing w:after="240" w:before="240" w:lineRule="auto"/>
        <w:rPr/>
      </w:pPr>
      <w:r w:rsidDel="00000000" w:rsidR="00000000" w:rsidRPr="00000000">
        <w:rPr>
          <w:rtl w:val="0"/>
        </w:rPr>
        <w:t xml:space="preserve">Lundberg and Lee (2017) introduced </w:t>
      </w:r>
      <w:r w:rsidDel="00000000" w:rsidR="00000000" w:rsidRPr="00000000">
        <w:rPr>
          <w:b w:val="1"/>
          <w:bCs w:val="1"/>
          <w:rtl w:val="0"/>
        </w:rPr>
        <w:t xml:space="preserve">SHAP </w:t>
      </w:r>
      <w:r w:rsidDel="00000000" w:rsidR="00000000" w:rsidRPr="00000000">
        <w:rPr>
          <w:rtl w:val="0"/>
        </w:rPr>
        <w:t xml:space="preserve">(SHapley Additive exPlanations), grounded in cooperative game theory. </w:t>
      </w:r>
      <w:r w:rsidDel="00000000" w:rsidR="00000000" w:rsidRPr="00000000">
        <w:rPr>
          <w:rtl w:val="0"/>
        </w:rPr>
        <w:t xml:space="preserve">SHAP</w:t>
      </w:r>
      <w:r w:rsidDel="00000000" w:rsidR="00000000" w:rsidRPr="00000000">
        <w:rPr>
          <w:b w:val="1"/>
          <w:bCs w:val="1"/>
          <w:rtl w:val="0"/>
        </w:rPr>
        <w:t xml:space="preserve"> </w:t>
      </w:r>
      <w:r w:rsidDel="00000000" w:rsidR="00000000" w:rsidRPr="00000000">
        <w:rPr>
          <w:rtl w:val="0"/>
        </w:rPr>
        <w:t xml:space="preserve">assigns a contribution score to each feature — in image classification, each pixel — quantifying how much it pushed the prediction toward or away from a given class. Unlike </w:t>
      </w:r>
      <w:r w:rsidDel="00000000" w:rsidR="00000000" w:rsidRPr="00000000">
        <w:rPr>
          <w:rtl w:val="0"/>
        </w:rPr>
        <w:t xml:space="preserve">Grad-CAM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SHAP</w:t>
      </w:r>
      <w:r w:rsidDel="00000000" w:rsidR="00000000" w:rsidRPr="00000000">
        <w:rPr>
          <w:rtl w:val="0"/>
        </w:rPr>
        <w:t xml:space="preserve"> provides directional information (positive and negative contributions) making it more informative for understanding decision conflicts.</w:t>
      </w:r>
    </w:p>
    <w:p w:rsidR="00000000" w:rsidDel="00000000" w:rsidP="00000000" w:rsidRDefault="00000000" w:rsidRPr="00000000" w14:paraId="00000016">
      <w:pPr>
        <w:spacing w:after="240" w:before="240" w:lineRule="auto"/>
        <w:rPr/>
      </w:pPr>
      <w:r w:rsidDel="00000000" w:rsidR="00000000" w:rsidRPr="00000000">
        <w:rPr>
          <w:rtl w:val="0"/>
        </w:rPr>
        <w:t xml:space="preserve">Ribeiro et al. (2016) introduced </w:t>
      </w:r>
      <w:r w:rsidDel="00000000" w:rsidR="00000000" w:rsidRPr="00000000">
        <w:rPr>
          <w:b w:val="1"/>
          <w:bCs w:val="1"/>
          <w:rtl w:val="0"/>
        </w:rPr>
        <w:t xml:space="preserve">LIME</w:t>
      </w:r>
      <w:r w:rsidDel="00000000" w:rsidR="00000000" w:rsidRPr="00000000">
        <w:rPr>
          <w:rtl w:val="0"/>
        </w:rPr>
        <w:t xml:space="preserve"> (Local Interpretable Model-agnostic Explanations), which approximates model behaviour locally by perturbing input features and fitting a linear model to the results.</w:t>
      </w:r>
      <w:r w:rsidDel="00000000" w:rsidR="00000000" w:rsidRPr="00000000">
        <w:rPr>
          <w:rtl w:val="0"/>
        </w:rPr>
        <w:t xml:space="preserve"> LIME</w:t>
      </w:r>
      <w:r w:rsidDel="00000000" w:rsidR="00000000" w:rsidRPr="00000000">
        <w:rPr>
          <w:b w:val="1"/>
          <w:bCs w:val="1"/>
          <w:rtl w:val="0"/>
        </w:rPr>
        <w:t xml:space="preserve"> </w:t>
      </w:r>
      <w:r w:rsidDel="00000000" w:rsidR="00000000" w:rsidRPr="00000000">
        <w:rPr>
          <w:rtl w:val="0"/>
        </w:rPr>
        <w:t xml:space="preserve">is model-agnostic and produces human-friendly segment-level explanations, but exhibits high variance due to its perturbation-based sampling — running it multiple times on the same image can produce different results. </w:t>
      </w:r>
    </w:p>
    <w:p w:rsidR="00000000" w:rsidDel="00000000" w:rsidP="00000000" w:rsidRDefault="00000000" w:rsidRPr="00000000" w14:paraId="00000017">
      <w:pPr>
        <w:spacing w:after="240" w:before="240" w:lineRule="auto"/>
        <w:rPr/>
      </w:pPr>
      <w:r w:rsidDel="00000000" w:rsidR="00000000" w:rsidRPr="00000000">
        <w:rPr>
          <w:rtl w:val="0"/>
        </w:rPr>
        <w:t xml:space="preserve">A key finding across these works is that each method captures a different aspect of model behaviour. No single method provides a complete explanation, which motivates the multi-method approach adopted in this project.</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Theme 3: Comparison of XAI Methods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Despite the widespread adoption of individual XAI methods, comparative studies remain limited. Samek et al. (2017) evaluated several explanation methods by measuring how much model performance dropped when the most important pixels were removed — a metric known as the pixel flipping test. They found that different methods produced significantly different importance maps on the same input, raising questions about which method best reflects true model reasoning.</w:t>
      </w:r>
    </w:p>
    <w:p w:rsidR="00000000" w:rsidDel="00000000" w:rsidP="00000000" w:rsidRDefault="00000000" w:rsidRPr="00000000" w14:paraId="0000001C">
      <w:pPr>
        <w:spacing w:after="240" w:before="240" w:lineRule="auto"/>
        <w:rPr/>
      </w:pPr>
      <w:r w:rsidDel="00000000" w:rsidR="00000000" w:rsidRPr="00000000">
        <w:rPr>
          <w:rtl w:val="0"/>
        </w:rPr>
        <w:t xml:space="preserve">Arun et al. (2021) compared </w:t>
      </w:r>
      <w:r w:rsidDel="00000000" w:rsidR="00000000" w:rsidRPr="00000000">
        <w:rPr>
          <w:b w:val="1"/>
          <w:bCs w:val="1"/>
          <w:rtl w:val="0"/>
        </w:rPr>
        <w:t xml:space="preserve">Grad-CAM</w:t>
      </w:r>
      <w:r w:rsidDel="00000000" w:rsidR="00000000" w:rsidRPr="00000000">
        <w:rPr>
          <w:rtl w:val="0"/>
        </w:rPr>
        <w:t xml:space="preserve">, Integrated Gradients, and</w:t>
      </w:r>
      <w:r w:rsidDel="00000000" w:rsidR="00000000" w:rsidRPr="00000000">
        <w:rPr>
          <w:b w:val="1"/>
          <w:bCs w:val="1"/>
          <w:rtl w:val="0"/>
        </w:rPr>
        <w:t xml:space="preserve"> SHAP </w:t>
      </w:r>
      <w:r w:rsidDel="00000000" w:rsidR="00000000" w:rsidRPr="00000000">
        <w:rPr>
          <w:rtl w:val="0"/>
        </w:rPr>
        <w:t xml:space="preserve">on chest X-ray classification tasks and found that no single method consistently aligned with radiologist annotations. This suggests that explanation faithfulness — whether an explanation truly reflects the model's decision process — cannot be assumed without validation.</w:t>
      </w:r>
    </w:p>
    <w:p w:rsidR="00000000" w:rsidDel="00000000" w:rsidP="00000000" w:rsidRDefault="00000000" w:rsidRPr="00000000" w14:paraId="0000001D">
      <w:pPr>
        <w:spacing w:after="240" w:before="240" w:lineRule="auto"/>
        <w:rPr/>
      </w:pPr>
      <w:r w:rsidDel="00000000" w:rsidR="00000000" w:rsidRPr="00000000">
        <w:rPr>
          <w:rtl w:val="0"/>
        </w:rPr>
        <w:t xml:space="preserve">Ghassemi et al. (2021) argued that explainability methods in clinical AI are often evaluated in isolation and that disagreement between methods is a strong signal of unreliable model reasoning. They called for multi-method validation frameworks before clinical deployment of AI systems. </w:t>
      </w:r>
    </w:p>
    <w:p w:rsidR="00000000" w:rsidDel="00000000" w:rsidP="00000000" w:rsidRDefault="00000000" w:rsidRPr="00000000" w14:paraId="0000001E">
      <w:pPr>
        <w:spacing w:after="240" w:before="240" w:lineRule="auto"/>
        <w:rPr/>
      </w:pPr>
      <w:r w:rsidDel="00000000" w:rsidR="00000000" w:rsidRPr="00000000">
        <w:rPr>
          <w:rtl w:val="0"/>
        </w:rPr>
        <w:t xml:space="preserve">The gap identified across these works is clear: most studies either use a single XAI method or compare methods visually without a systematic trust evaluation framework. This project directly addresses that gap by analysing agreement and disagreement between </w:t>
      </w:r>
      <w:r w:rsidDel="00000000" w:rsidR="00000000" w:rsidRPr="00000000">
        <w:rPr>
          <w:b w:val="1"/>
          <w:bCs w:val="1"/>
          <w:rtl w:val="0"/>
        </w:rPr>
        <w:t xml:space="preserve">Grad-CAM</w:t>
      </w:r>
      <w:r w:rsidDel="00000000" w:rsidR="00000000" w:rsidRPr="00000000">
        <w:rPr>
          <w:rtl w:val="0"/>
        </w:rPr>
        <w:t xml:space="preserve">, </w:t>
      </w:r>
      <w:r w:rsidDel="00000000" w:rsidR="00000000" w:rsidRPr="00000000">
        <w:rPr>
          <w:b w:val="1"/>
          <w:bCs w:val="1"/>
          <w:rtl w:val="0"/>
        </w:rPr>
        <w:t xml:space="preserve">SHAP</w:t>
      </w:r>
      <w:r w:rsidDel="00000000" w:rsidR="00000000" w:rsidRPr="00000000">
        <w:rPr>
          <w:rtl w:val="0"/>
        </w:rPr>
        <w:t xml:space="preserve">, and </w:t>
      </w:r>
      <w:r w:rsidDel="00000000" w:rsidR="00000000" w:rsidRPr="00000000">
        <w:rPr>
          <w:b w:val="1"/>
          <w:bCs w:val="1"/>
          <w:rtl w:val="0"/>
        </w:rPr>
        <w:t xml:space="preserve">LIME</w:t>
      </w:r>
      <w:r w:rsidDel="00000000" w:rsidR="00000000" w:rsidRPr="00000000">
        <w:rPr>
          <w:rtl w:val="0"/>
        </w:rPr>
        <w:t xml:space="preserve"> as a proxy for model trustworthiness — a direction that remains underexplored in existing literature.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Research Gap &amp; Contribution</w:t>
      </w:r>
    </w:p>
    <w:p w:rsidR="00000000" w:rsidDel="00000000" w:rsidP="00000000" w:rsidRDefault="00000000" w:rsidRPr="00000000" w14:paraId="00000021">
      <w:pPr>
        <w:spacing w:after="240" w:before="240" w:lineRule="auto"/>
        <w:rPr/>
      </w:pPr>
      <w:r w:rsidDel="00000000" w:rsidR="00000000" w:rsidRPr="00000000">
        <w:rPr>
          <w:rtl w:val="0"/>
        </w:rPr>
        <w:t xml:space="preserve">The reviewed literature highlights three key limitations. First, most medical imaging studies prioritise classification performance without addressing model transparency. Second, explainability research typically relies on a single XAI method, without evaluating whether the explanations faithfully represent model reasoning. Third, comparative studies of XAI methods rarely provide a systematic framework for assessing trust in model decisions.</w:t>
      </w:r>
    </w:p>
    <w:p w:rsidR="00000000" w:rsidDel="00000000" w:rsidP="00000000" w:rsidRDefault="00000000" w:rsidRPr="00000000" w14:paraId="00000022">
      <w:pPr>
        <w:spacing w:after="240" w:before="240" w:lineRule="auto"/>
        <w:rPr/>
      </w:pPr>
      <w:r w:rsidDel="00000000" w:rsidR="00000000" w:rsidRPr="00000000">
        <w:rPr>
          <w:rtl w:val="0"/>
        </w:rPr>
        <w:t xml:space="preserve">To the best of our knowledge, limited work has explored cross-method agreement between </w:t>
      </w:r>
      <w:r w:rsidDel="00000000" w:rsidR="00000000" w:rsidRPr="00000000">
        <w:rPr>
          <w:b w:val="1"/>
          <w:bCs w:val="1"/>
          <w:rtl w:val="0"/>
        </w:rPr>
        <w:t xml:space="preserve">Grad-CAM</w:t>
      </w:r>
      <w:r w:rsidDel="00000000" w:rsidR="00000000" w:rsidRPr="00000000">
        <w:rPr>
          <w:rtl w:val="0"/>
        </w:rPr>
        <w:t xml:space="preserve">, </w:t>
      </w:r>
      <w:r w:rsidDel="00000000" w:rsidR="00000000" w:rsidRPr="00000000">
        <w:rPr>
          <w:b w:val="1"/>
          <w:bCs w:val="1"/>
          <w:rtl w:val="0"/>
        </w:rPr>
        <w:t xml:space="preserve">SHAP</w:t>
      </w:r>
      <w:r w:rsidDel="00000000" w:rsidR="00000000" w:rsidRPr="00000000">
        <w:rPr>
          <w:rtl w:val="0"/>
        </w:rPr>
        <w:t xml:space="preserve">, and </w:t>
      </w:r>
      <w:r w:rsidDel="00000000" w:rsidR="00000000" w:rsidRPr="00000000">
        <w:rPr>
          <w:b w:val="1"/>
          <w:bCs w:val="1"/>
          <w:rtl w:val="0"/>
        </w:rPr>
        <w:t xml:space="preserve">LIME</w:t>
      </w:r>
      <w:r w:rsidDel="00000000" w:rsidR="00000000" w:rsidRPr="00000000">
        <w:rPr>
          <w:rtl w:val="0"/>
        </w:rPr>
        <w:t xml:space="preserve"> as a mechanism for evaluating trust in chest X-ray classification.</w:t>
      </w:r>
    </w:p>
    <w:p w:rsidR="00000000" w:rsidDel="00000000" w:rsidP="00000000" w:rsidRDefault="00000000" w:rsidRPr="00000000" w14:paraId="00000023">
      <w:pPr>
        <w:spacing w:after="240" w:before="240" w:lineRule="auto"/>
        <w:rPr/>
      </w:pPr>
      <w:r w:rsidDel="00000000" w:rsidR="00000000" w:rsidRPr="00000000">
        <w:rPr>
          <w:rtl w:val="0"/>
        </w:rPr>
        <w:t xml:space="preserve">This project addresses these limitations by proposing a multi-method explainability framework based on agreement and disagreement between XAI techniques. We demonstrate that consistent explanations across methods are associated with more reliable model reasoning, while disagreement can reveal potential failure cases.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Our central hypothesis is:</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 "Agreement between XAI methods can serve as a proxy for trust in medical AI systems."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Dataset</w:t>
      </w:r>
    </w:p>
    <w:p w:rsidR="00000000" w:rsidDel="00000000" w:rsidP="00000000" w:rsidRDefault="00000000" w:rsidRPr="00000000" w14:paraId="00000028">
      <w:pPr>
        <w:spacing w:after="240" w:before="240" w:lineRule="auto"/>
        <w:rPr/>
      </w:pPr>
      <w:r w:rsidDel="00000000" w:rsidR="00000000" w:rsidRPr="00000000">
        <w:rPr>
          <w:rtl w:val="0"/>
        </w:rPr>
        <w:t xml:space="preserve">The Chest X-Ray Images (Pneumonia) dataset from Kaggle was used, containing 5,216 training images, 624 test images, and 16 validation images across two classes — Normal and Pneumonia. The dataset is imbalanced, with approximately 73% pneumonia cases in the training set. This imbalance was addressed through weighted sampling and augmentation during training.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Preprocessing</w:t>
      </w:r>
    </w:p>
    <w:p w:rsidR="00000000" w:rsidDel="00000000" w:rsidP="00000000" w:rsidRDefault="00000000" w:rsidRPr="00000000" w14:paraId="0000002A">
      <w:pPr>
        <w:spacing w:after="240" w:before="240" w:lineRule="auto"/>
        <w:rPr/>
      </w:pPr>
      <w:r w:rsidDel="00000000" w:rsidR="00000000" w:rsidRPr="00000000">
        <w:rPr>
          <w:rtl w:val="0"/>
        </w:rPr>
        <w:t xml:space="preserve">Images were resized to 224×224 pixels to match ResNet-50 input requirements. Training augmentations included random horizontal flips, rotation up to 10 degrees, and colour jitter. All images were normalised using dataset-specific statistics — mean 0.5330 and standard deviation 0.0349 — computed from the training set rather than standard ImageNet values, to better represent the greyscale X-ray distribution.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Model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A ResNet-50 architecture was trained from scratch for binary classification. </w:t>
      </w:r>
      <w:r w:rsidDel="00000000" w:rsidR="00000000" w:rsidRPr="00000000">
        <w:rPr>
          <w:rtl w:val="0"/>
        </w:rPr>
        <w:t xml:space="preserve">The standard fully connected head was replaced with a custom head consisting of a dropout layer (p=0.5), a linear layer reducing to 256 dimensions, ReLU activation, a second dropout layer (p=0.3), and a final linear layer with a single sigmoid output. This architecture was selected for its strong performance on medical imaging tasks and its well-studied layer structure, which is compatible with gradient-based explainability methods.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Training Setup</w:t>
      </w:r>
    </w:p>
    <w:p w:rsidR="00000000" w:rsidDel="00000000" w:rsidP="00000000" w:rsidRDefault="00000000" w:rsidRPr="00000000" w14:paraId="0000002E">
      <w:pPr>
        <w:spacing w:after="240" w:before="240" w:lineRule="auto"/>
        <w:rPr/>
      </w:pPr>
      <w:r w:rsidDel="00000000" w:rsidR="00000000" w:rsidRPr="00000000">
        <w:rPr>
          <w:rtl w:val="0"/>
        </w:rPr>
        <w:t xml:space="preserve">The model was trained for 10 epochs using Binary Cross-Entropy loss, Adam optimiser with a learning rate of 1e-4, and a StepLR scheduler reducing the learning rate by a factor of 0.1 every 3 epochs. The best checkpoint was selected based on validation AUC. Final test performance achieved AUC = 0.9701 and PR-AUC = 0.9796.</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XAI Methods</w:t>
      </w:r>
    </w:p>
    <w:p w:rsidR="00000000" w:rsidDel="00000000" w:rsidP="00000000" w:rsidRDefault="00000000" w:rsidRPr="00000000" w14:paraId="00000031">
      <w:pPr>
        <w:spacing w:after="240" w:before="240" w:lineRule="auto"/>
        <w:rPr/>
      </w:pPr>
      <w:r w:rsidDel="00000000" w:rsidR="00000000" w:rsidRPr="00000000">
        <w:rPr>
          <w:rtl w:val="0"/>
        </w:rPr>
        <w:t xml:space="preserve">Three complementary explainability methods were applied to the trained model: </w:t>
      </w:r>
    </w:p>
    <w:p w:rsidR="00000000" w:rsidDel="00000000" w:rsidP="00000000" w:rsidRDefault="00000000" w:rsidRPr="00000000" w14:paraId="00000032">
      <w:pPr>
        <w:spacing w:after="240" w:before="240" w:lineRule="auto"/>
        <w:rPr/>
      </w:pPr>
      <w:r w:rsidDel="00000000" w:rsidR="00000000" w:rsidRPr="00000000">
        <w:rPr>
          <w:rtl w:val="0"/>
        </w:rPr>
        <w:t xml:space="preserve">Grad-CAM (Selvaraju et al., 2017) — Forward and backward hooks were registered on layer4[2].conv3 of ResNet-50. Gradients were globally average-pooled to produce per-channel importance weights, and a weighted sum of activation maps passed through ReLU produced the localisation heatmap.</w:t>
      </w:r>
    </w:p>
    <w:p w:rsidR="00000000" w:rsidDel="00000000" w:rsidP="00000000" w:rsidRDefault="00000000" w:rsidRPr="00000000" w14:paraId="00000033">
      <w:pPr>
        <w:spacing w:after="240" w:before="240" w:lineRule="auto"/>
        <w:rPr/>
      </w:pPr>
      <w:r w:rsidDel="00000000" w:rsidR="00000000" w:rsidRPr="00000000">
        <w:rPr>
          <w:rtl w:val="0"/>
        </w:rPr>
        <w:t xml:space="preserve">SHAP (Lundberg and Lee, 2017) — PartitionExplainer with a blur masker baseline was used. SHAP values quantify the direction and magnitude of each pixel's contribution to the final prediction. Positive values indicate features pushing toward pneumonia, negative values indicate features pushing toward normal.</w:t>
      </w:r>
    </w:p>
    <w:p w:rsidR="00000000" w:rsidDel="00000000" w:rsidP="00000000" w:rsidRDefault="00000000" w:rsidRPr="00000000" w14:paraId="00000034">
      <w:pPr>
        <w:spacing w:after="240" w:before="240" w:lineRule="auto"/>
        <w:rPr/>
      </w:pPr>
      <w:r w:rsidDel="00000000" w:rsidR="00000000" w:rsidRPr="00000000">
        <w:rPr>
          <w:rtl w:val="0"/>
        </w:rPr>
        <w:t xml:space="preserve">LIME (Ribeiro et al., 2016) — LimeImageExplainer was applied with 1000 perturbation samples and 10 superpixel features. LIME fits a local linear model to identify which image segments most influenced the prediction. </w:t>
      </w:r>
    </w:p>
    <w:p w:rsidR="00000000" w:rsidDel="00000000" w:rsidP="00000000" w:rsidRDefault="00000000" w:rsidRPr="00000000" w14:paraId="00000035">
      <w:pPr>
        <w:spacing w:after="240" w:before="240" w:lineRule="auto"/>
        <w:rPr/>
      </w:pPr>
      <w:r w:rsidDel="00000000" w:rsidR="00000000" w:rsidRPr="00000000">
        <w:rPr>
          <w:rtl w:val="0"/>
        </w:rPr>
        <w:t xml:space="preserve">All explanations were generated on the test set to ensure evaluation on unseen data.</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Trust Evaluation Framework </w:t>
      </w:r>
    </w:p>
    <w:p w:rsidR="00000000" w:rsidDel="00000000" w:rsidP="00000000" w:rsidRDefault="00000000" w:rsidRPr="00000000" w14:paraId="00000038">
      <w:pPr>
        <w:spacing w:after="240" w:before="240" w:lineRule="auto"/>
        <w:rPr/>
      </w:pPr>
      <w:r w:rsidDel="00000000" w:rsidR="00000000" w:rsidRPr="00000000">
        <w:rPr>
          <w:rtl w:val="0"/>
        </w:rPr>
        <w:t xml:space="preserve">A key methodological contribution of this project is the use of cross-method agreement as a proxy for trust. When Grad-CAM, SHAP, and LIME highlight consistent regions, confidence in the explanation — and potentially the model's reasoning — is higher. When methods disagree, the model's decision is flagged as potentially unreliable. This framework was applied to both correctly classified cases and false negatives to evaluate explanation consistency across different prediction outcomes.</w:t>
      </w:r>
    </w:p>
    <w:p w:rsidR="00000000" w:rsidDel="00000000" w:rsidP="00000000" w:rsidRDefault="00000000" w:rsidRPr="00000000" w14:paraId="00000039">
      <w:pPr>
        <w:spacing w:after="240" w:before="240" w:lineRule="auto"/>
        <w:rPr/>
      </w:pPr>
      <w:r w:rsidDel="00000000" w:rsidR="00000000" w:rsidRPr="00000000">
        <w:rPr>
          <w:rtl w:val="0"/>
        </w:rPr>
        <w:t xml:space="preserve">This framework enables qualitative evaluation of model reasoning beyond traditional performance metrics.</w:t>
      </w:r>
    </w:p>
    <w:p w:rsidR="00000000" w:rsidDel="00000000" w:rsidP="00000000" w:rsidRDefault="00000000" w:rsidRPr="00000000" w14:paraId="0000003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