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F97DF">
      <w:pPr>
        <w:spacing w:before="1800" w:after="200"/>
        <w:jc w:val="center"/>
      </w:pPr>
      <w:r>
        <w:rPr>
          <w:color w:val="595959"/>
          <w:sz w:val="28"/>
          <w:szCs w:val="28"/>
        </w:rPr>
        <w:t>Digital Egypt Pioneers Initiative (DEPI)</w:t>
      </w:r>
    </w:p>
    <w:p w14:paraId="58A96F5C">
      <w:pPr>
        <w:spacing w:after="200"/>
        <w:jc w:val="center"/>
      </w:pPr>
      <w:r>
        <w:rPr>
          <w:color w:val="595959"/>
          <w:sz w:val="28"/>
          <w:szCs w:val="28"/>
        </w:rPr>
        <w:t>Graduation Project</w:t>
      </w:r>
    </w:p>
    <w:p w14:paraId="2E544BAB">
      <w:pPr>
        <w:spacing w:before="600" w:after="200"/>
        <w:jc w:val="center"/>
      </w:pPr>
      <w:r>
        <w:rPr>
          <w:b/>
          <w:bCs/>
          <w:color w:val="1F4E79"/>
          <w:sz w:val="52"/>
          <w:szCs w:val="52"/>
        </w:rPr>
        <w:t>Literature Review</w:t>
      </w:r>
    </w:p>
    <w:p w14:paraId="70519EDB">
      <w:pPr>
        <w:spacing w:after="800"/>
        <w:jc w:val="center"/>
      </w:pPr>
      <w:r>
        <w:rPr>
          <w:sz w:val="30"/>
          <w:szCs w:val="30"/>
        </w:rPr>
        <w:t>UK Train Rides – Power BI Data Analysis</w:t>
      </w:r>
    </w:p>
    <w:p w14:paraId="36B3C098">
      <w:pPr>
        <w:spacing w:after="200"/>
        <w:jc w:val="center"/>
      </w:pPr>
      <w:r>
        <w:rPr>
          <w:b/>
          <w:bCs/>
          <w:sz w:val="26"/>
          <w:szCs w:val="26"/>
        </w:rPr>
        <w:t>Team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7C1D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34E4B24">
            <w:r>
              <w:rPr>
                <w:b/>
                <w:bCs/>
                <w:color w:val="FFFFFF"/>
                <w:sz w:val="20"/>
                <w:szCs w:val="20"/>
              </w:rPr>
              <w:t>Track</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72CA19B7">
            <w:r>
              <w:rPr>
                <w:b/>
                <w:bCs/>
                <w:color w:val="FFFFFF"/>
                <w:sz w:val="20"/>
                <w:szCs w:val="20"/>
              </w:rPr>
              <w:t>Member 1</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67DC728E">
            <w:r>
              <w:rPr>
                <w:b/>
                <w:bCs/>
                <w:color w:val="FFFFFF"/>
                <w:sz w:val="20"/>
                <w:szCs w:val="20"/>
              </w:rPr>
              <w:t>Member 2</w:t>
            </w:r>
          </w:p>
        </w:tc>
      </w:tr>
      <w:tr w14:paraId="6E54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22EB958">
            <w:r>
              <w:rPr>
                <w:b w:val="0"/>
                <w:bCs w:val="0"/>
                <w:color w:val="000000"/>
                <w:sz w:val="20"/>
                <w:szCs w:val="20"/>
              </w:rPr>
              <w:t>Data Cleaning</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5313446">
            <w:r>
              <w:rPr>
                <w:b w:val="0"/>
                <w:bCs w:val="0"/>
                <w:color w:val="000000"/>
                <w:sz w:val="20"/>
                <w:szCs w:val="20"/>
              </w:rPr>
              <w:t>R</w:t>
            </w:r>
            <w:r>
              <w:rPr>
                <w:rFonts w:hint="default"/>
                <w:b w:val="0"/>
                <w:bCs w:val="0"/>
                <w:color w:val="000000"/>
                <w:sz w:val="20"/>
                <w:szCs w:val="20"/>
                <w:lang w:val="en-US"/>
              </w:rPr>
              <w:t>aw</w:t>
            </w:r>
            <w:r>
              <w:rPr>
                <w:b w:val="0"/>
                <w:bCs w:val="0"/>
                <w:color w:val="000000"/>
                <w:sz w:val="20"/>
                <w:szCs w:val="20"/>
              </w:rPr>
              <w:t>aa Ahmed</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0770D00">
            <w:r>
              <w:rPr>
                <w:b w:val="0"/>
                <w:bCs w:val="0"/>
                <w:color w:val="000000"/>
                <w:sz w:val="20"/>
                <w:szCs w:val="20"/>
              </w:rPr>
              <w:t>Mariam Mostafa</w:t>
            </w:r>
          </w:p>
        </w:tc>
      </w:tr>
      <w:tr w14:paraId="767B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12B90DB">
            <w:r>
              <w:rPr>
                <w:b w:val="0"/>
                <w:bCs w:val="0"/>
                <w:color w:val="000000"/>
                <w:sz w:val="20"/>
                <w:szCs w:val="20"/>
              </w:rPr>
              <w:t>DAX &amp; Measures</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C31AC52">
            <w:r>
              <w:rPr>
                <w:b w:val="0"/>
                <w:bCs w:val="0"/>
                <w:color w:val="000000"/>
                <w:sz w:val="20"/>
                <w:szCs w:val="20"/>
              </w:rPr>
              <w:t>Ibrahim Haitham</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583BE7B">
            <w:r>
              <w:rPr>
                <w:b w:val="0"/>
                <w:bCs w:val="0"/>
                <w:color w:val="000000"/>
                <w:sz w:val="20"/>
                <w:szCs w:val="20"/>
              </w:rPr>
              <w:t>Asmaa Mohamed</w:t>
            </w:r>
          </w:p>
        </w:tc>
      </w:tr>
      <w:tr w14:paraId="206F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03CC82B">
            <w:r>
              <w:rPr>
                <w:b w:val="0"/>
                <w:bCs w:val="0"/>
                <w:color w:val="000000"/>
                <w:sz w:val="20"/>
                <w:szCs w:val="20"/>
              </w:rPr>
              <w:t>Dashboard</w:t>
            </w:r>
          </w:p>
        </w:tc>
        <w:tc>
          <w:tcPr>
            <w:tcW w:w="3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5643272">
            <w:r>
              <w:rPr>
                <w:b w:val="0"/>
                <w:bCs w:val="0"/>
                <w:color w:val="000000"/>
                <w:sz w:val="20"/>
                <w:szCs w:val="20"/>
              </w:rPr>
              <w:t>Omar Mostafa</w:t>
            </w:r>
          </w:p>
        </w:tc>
        <w:tc>
          <w:tcPr>
            <w:tcW w:w="3026"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62C087E5">
            <w:r>
              <w:rPr>
                <w:b w:val="0"/>
                <w:bCs w:val="0"/>
                <w:color w:val="000000"/>
                <w:sz w:val="20"/>
                <w:szCs w:val="20"/>
              </w:rPr>
              <w:t>Eman Nabil</w:t>
            </w:r>
          </w:p>
        </w:tc>
      </w:tr>
    </w:tbl>
    <w:p w14:paraId="7381960C"/>
    <w:p w14:paraId="32E5C0FD">
      <w:pPr>
        <w:rPr>
          <w:rFonts w:hint="cs" w:cs="Calibri"/>
          <w:lang w:bidi="ar-EG"/>
        </w:rPr>
      </w:pPr>
      <w:r>
        <w:br w:type="page"/>
      </w:r>
    </w:p>
    <w:p w14:paraId="5D0EDADD">
      <w:pPr>
        <w:pStyle w:val="2"/>
      </w:pPr>
      <w:r>
        <w:t>1. Introduction</w:t>
      </w:r>
    </w:p>
    <w:p w14:paraId="76B0A685">
      <w:pPr>
        <w:spacing w:after="120" w:line="288" w:lineRule="auto"/>
      </w:pPr>
      <w:r>
        <w:t>Rail transport generates large volumes of data every day: ticket sales, passenger flows, timetables, delays, and refunds. Analyzing this data helps operators improve punctuality, plan capacity, price tickets, and understand passenger behavior. This review summarizes the main themes found in studies and industry practice related to railway data analysis, and explains how they inform the UK Train Rides project.</w:t>
      </w:r>
    </w:p>
    <w:p w14:paraId="59707F4E">
      <w:pPr>
        <w:pStyle w:val="2"/>
      </w:pPr>
      <w:r>
        <w:t>2. Background: The UK Rail Ticketing Context</w:t>
      </w:r>
    </w:p>
    <w:p w14:paraId="3B5E28A4">
      <w:pPr>
        <w:spacing w:after="120" w:line="288" w:lineRule="auto"/>
      </w:pPr>
      <w:r>
        <w:t>The dataset used in this project reflects common features of UK rail ticketing. Tickets can be bought online or at a station and paid for by contactless, credit card, or debit card. Passengers choose between Standard and First class, and between ticket types such as Advance and Off-Peak, which are cheaper but come with restrictions on when they can be bought or used. National Railcard holders (Adult, Senior, or Disabled) receive a discount of one third on their tickets.</w:t>
      </w:r>
    </w:p>
    <w:p w14:paraId="72FA60B6">
      <w:pPr>
        <w:spacing w:after="120" w:line="288" w:lineRule="auto"/>
      </w:pPr>
      <w:r>
        <w:t>Understanding how these pricing rules affect demand and revenue is a central part of the analysis, and the same structure appears in much of the literature on rail revenue management.</w:t>
      </w:r>
    </w:p>
    <w:p w14:paraId="1F566830">
      <w:pPr>
        <w:pStyle w:val="2"/>
      </w:pPr>
      <w:r>
        <w:t>3. Key Themes in the Literature</w:t>
      </w:r>
    </w:p>
    <w:p w14:paraId="2E0D2FAD">
      <w:pPr>
        <w:pStyle w:val="3"/>
      </w:pPr>
      <w:r>
        <w:t>3.1 Delay and Cancellation Analysis</w:t>
      </w:r>
    </w:p>
    <w:p w14:paraId="28E2A326">
      <w:pPr>
        <w:spacing w:after="120" w:line="288" w:lineRule="auto"/>
      </w:pPr>
      <w:r>
        <w:t>A large part of railway analytics focuses on punctuality. Studies and operator reports commonly measure the share of trains that are on time, delayed, or cancelled, and break these down by route, station, time of day, and cause. Typical delay causes include infrastructure faults, weather, signaling problems, staff shortages, and technical issues with trains. Analyzing delay reasons helps operators decide where to invest and how to communicate with passengers.</w:t>
      </w:r>
    </w:p>
    <w:p w14:paraId="7FC4BF18">
      <w:pPr>
        <w:spacing w:after="120" w:line="288" w:lineRule="auto"/>
      </w:pPr>
      <w:r>
        <w:t>Relevance to this project: the Journey Status, Reason for Delay, Arrival Time, and Actual Arrival Time fields allow the team to calculate delay duration, delay rate, and cancellation rate by route and by cause.</w:t>
      </w:r>
    </w:p>
    <w:p w14:paraId="7F701A54">
      <w:pPr>
        <w:pStyle w:val="3"/>
      </w:pPr>
      <w:r>
        <w:t>3.2 Demand Analysis and Forecasting</w:t>
      </w:r>
    </w:p>
    <w:p w14:paraId="5D2ED430">
      <w:pPr>
        <w:spacing w:after="120" w:line="288" w:lineRule="auto"/>
      </w:pPr>
      <w:r>
        <w:t>Demand forecasting is widely used to plan train capacity and staffing. Common approaches range from simple moving averages and seasonal decomposition to regression and time-series models. Demand in rail typically shows strong patterns: weekday versus weekend, peak versus off-peak hours, holidays, and seasonal effects. Simple, explainable methods are often preferred in business settings because decision makers can understand and trust them.</w:t>
      </w:r>
    </w:p>
    <w:p w14:paraId="51F09538">
      <w:pPr>
        <w:spacing w:after="120" w:line="288" w:lineRule="auto"/>
      </w:pPr>
      <w:r>
        <w:t>Relevance to this project: the project must predict the number of rides for the next month and show demand across ticket classes. The date and time of purchase and journey fields support daily and hourly patterns.</w:t>
      </w:r>
    </w:p>
    <w:p w14:paraId="1FF6F86D">
      <w:pPr>
        <w:pStyle w:val="3"/>
      </w:pPr>
      <w:r>
        <w:t>3.3 Revenue and Pricing Analysis</w:t>
      </w:r>
    </w:p>
    <w:p w14:paraId="53B53E68">
      <w:pPr>
        <w:spacing w:after="120" w:line="288" w:lineRule="auto"/>
      </w:pPr>
      <w:r>
        <w:t>Rail operators use differentiated pricing (advance tickets, off-peak discounts, railcards, and class of travel) to balance load and maximize revenue. The literature on revenue management shows that discounts can shift demand away from peak times but also reduce average revenue per ticket. Analyzing revenue by ticket type, class, railcard, and purchase channel reveals which segments are most valuable.</w:t>
      </w:r>
    </w:p>
    <w:p w14:paraId="34B074BB">
      <w:pPr>
        <w:spacing w:after="120" w:line="288" w:lineRule="auto"/>
      </w:pPr>
      <w:r>
        <w:t>Relevance to this project: the team will forecast daily revenue for the next month and analyze how ticket type, class, and railcard discounts affect revenue.</w:t>
      </w:r>
    </w:p>
    <w:p w14:paraId="46944D70">
      <w:pPr>
        <w:pStyle w:val="3"/>
      </w:pPr>
      <w:r>
        <w:t>3.4 Passenger Behavior and Refunds</w:t>
      </w:r>
    </w:p>
    <w:p w14:paraId="6DB5DFC7">
      <w:pPr>
        <w:spacing w:after="120" w:line="288" w:lineRule="auto"/>
      </w:pPr>
      <w:r>
        <w:t>Refund requests after delays or cancellations are an important measure of passenger dissatisfaction and a financial cost for the operator. Research on service quality links delay length and cancellations to complaints and refund claims, and shows that purchase channel and payment method can influence passenger behavior.</w:t>
      </w:r>
    </w:p>
    <w:p w14:paraId="6F4257A9">
      <w:pPr>
        <w:spacing w:after="120" w:line="288" w:lineRule="auto"/>
      </w:pPr>
      <w:r>
        <w:t>Relevance to this project: the Refund Request field allows analysis of refund rate by delay reason, route, and ticket type.</w:t>
      </w:r>
    </w:p>
    <w:p w14:paraId="6AFE53A7">
      <w:pPr>
        <w:pStyle w:val="3"/>
      </w:pPr>
      <w:r>
        <w:t>3.5 Business Intelligence and Dashboards in Transport</w:t>
      </w:r>
    </w:p>
    <w:p w14:paraId="5D3950F7">
      <w:pPr>
        <w:spacing w:after="120" w:line="288" w:lineRule="auto"/>
      </w:pPr>
      <w:r>
        <w:t>Business intelligence tools such as Power BI, Tableau, and Qlik are widely used by transport organizations to create interactive dashboards. Good dashboard design principles include: showing the most important KPIs first, using filters and slicers for exploration, choosing chart types that match the question, limiting clutter, and keeping a consistent layout and color scheme.</w:t>
      </w:r>
    </w:p>
    <w:p w14:paraId="2BC8C696">
      <w:pPr>
        <w:spacing w:after="120" w:line="288" w:lineRule="auto"/>
      </w:pPr>
      <w:r>
        <w:t>Relevance to this project: the dashboard track follows these principles to present KPIs, trends, and breakdowns that decision makers can explore.</w:t>
      </w:r>
    </w:p>
    <w:p w14:paraId="18F3DC65">
      <w:pPr>
        <w:pStyle w:val="3"/>
      </w:pPr>
      <w:r>
        <w:t>3.6 Data Cleaning and Preparation</w:t>
      </w:r>
    </w:p>
    <w:p w14:paraId="0A69BB34">
      <w:pPr>
        <w:spacing w:after="120" w:line="288" w:lineRule="auto"/>
      </w:pPr>
      <w:r>
        <w:t>Data quality is repeatedly identified as the main factor affecting analysis quality. Standard practices include profiling the data, handling missing values, removing duplicates, correcting data types, standardizing categories, and creating derived fields (for example, delay minutes from scheduled and actual arrival times). Documenting each cleaning step keeps the process reproducible.</w:t>
      </w:r>
    </w:p>
    <w:p w14:paraId="265BD0D4">
      <w:pPr>
        <w:spacing w:after="120" w:line="288" w:lineRule="auto"/>
      </w:pPr>
      <w:r>
        <w:t>Relevance to this project: Power Query in Power BI is used for all cleaning steps, and each step is documented.</w:t>
      </w:r>
    </w:p>
    <w:p w14:paraId="7D84A8B0">
      <w:pPr>
        <w:pStyle w:val="2"/>
      </w:pPr>
      <w:r>
        <w:t>4. Comparison of Analysis Tools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3559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476FBE5F">
            <w:r>
              <w:rPr>
                <w:b/>
                <w:bCs/>
                <w:color w:val="FFFFFF"/>
                <w:sz w:val="20"/>
                <w:szCs w:val="20"/>
              </w:rPr>
              <w:t>Tool</w:t>
            </w:r>
          </w:p>
        </w:tc>
        <w:tc>
          <w:tcPr>
            <w:tcW w:w="3513"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BE603CD">
            <w:r>
              <w:rPr>
                <w:b/>
                <w:bCs/>
                <w:color w:val="FFFFFF"/>
                <w:sz w:val="20"/>
                <w:szCs w:val="20"/>
              </w:rPr>
              <w:t>Strengths</w:t>
            </w:r>
          </w:p>
        </w:tc>
        <w:tc>
          <w:tcPr>
            <w:tcW w:w="3513" w:type="dxa"/>
            <w:tcBorders>
              <w:top w:val="single" w:color="BFBFBF" w:sz="4" w:space="0"/>
              <w:left w:val="single" w:color="BFBFBF" w:sz="4" w:space="0"/>
              <w:bottom w:val="single" w:color="BFBFBF" w:sz="4" w:space="0"/>
              <w:right w:val="single" w:color="BFBFBF" w:sz="4" w:space="0"/>
            </w:tcBorders>
            <w:shd w:val="clear" w:color="auto" w:fill="1F4E79"/>
            <w:tcMar>
              <w:top w:w="70" w:type="dxa"/>
              <w:left w:w="100" w:type="dxa"/>
              <w:bottom w:w="70" w:type="dxa"/>
              <w:right w:w="100" w:type="dxa"/>
            </w:tcMar>
          </w:tcPr>
          <w:p w14:paraId="355739E0">
            <w:r>
              <w:rPr>
                <w:b/>
                <w:bCs/>
                <w:color w:val="FFFFFF"/>
                <w:sz w:val="20"/>
                <w:szCs w:val="20"/>
              </w:rPr>
              <w:t>Limitations</w:t>
            </w:r>
          </w:p>
        </w:tc>
      </w:tr>
      <w:tr w14:paraId="5A4A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8CCBA4C">
            <w:r>
              <w:rPr>
                <w:b w:val="0"/>
                <w:bCs w:val="0"/>
                <w:color w:val="000000"/>
                <w:sz w:val="20"/>
                <w:szCs w:val="20"/>
              </w:rPr>
              <w:t>Power BI</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5E4CECE0">
            <w:r>
              <w:rPr>
                <w:b w:val="0"/>
                <w:bCs w:val="0"/>
                <w:color w:val="000000"/>
                <w:sz w:val="20"/>
                <w:szCs w:val="20"/>
              </w:rPr>
              <w:t>Integrated cleaning (Power Query), modeling, DAX, and interactive dashboards; strong Excel integration.</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9BA6028">
            <w:r>
              <w:rPr>
                <w:b w:val="0"/>
                <w:bCs w:val="0"/>
                <w:color w:val="000000"/>
                <w:sz w:val="20"/>
                <w:szCs w:val="20"/>
              </w:rPr>
              <w:t>Advanced forecasting is limited compared with dedicated statistical tools.</w:t>
            </w:r>
          </w:p>
        </w:tc>
      </w:tr>
      <w:tr w14:paraId="39E2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411F513B">
            <w:r>
              <w:rPr>
                <w:b w:val="0"/>
                <w:bCs w:val="0"/>
                <w:color w:val="000000"/>
                <w:sz w:val="20"/>
                <w:szCs w:val="20"/>
              </w:rPr>
              <w:t>Excel</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584CD7C">
            <w:r>
              <w:rPr>
                <w:b w:val="0"/>
                <w:bCs w:val="0"/>
                <w:color w:val="000000"/>
                <w:sz w:val="20"/>
                <w:szCs w:val="20"/>
              </w:rPr>
              <w:t>Familiar and quick for small data exploration.</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18B8A9D">
            <w:r>
              <w:rPr>
                <w:b w:val="0"/>
                <w:bCs w:val="0"/>
                <w:color w:val="000000"/>
                <w:sz w:val="20"/>
                <w:szCs w:val="20"/>
              </w:rPr>
              <w:t>Struggles with large data; limited interactivity.</w:t>
            </w:r>
          </w:p>
        </w:tc>
      </w:tr>
      <w:tr w14:paraId="62A9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7601A7B0">
            <w:r>
              <w:rPr>
                <w:b w:val="0"/>
                <w:bCs w:val="0"/>
                <w:color w:val="000000"/>
                <w:sz w:val="20"/>
                <w:szCs w:val="20"/>
              </w:rPr>
              <w:t>Python (pandas, scikit-learn)</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5F70637">
            <w:r>
              <w:rPr>
                <w:b w:val="0"/>
                <w:bCs w:val="0"/>
                <w:color w:val="000000"/>
                <w:sz w:val="20"/>
                <w:szCs w:val="20"/>
              </w:rPr>
              <w:t>Flexible cleaning and advanced modeling.</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2C84B787">
            <w:r>
              <w:rPr>
                <w:b w:val="0"/>
                <w:bCs w:val="0"/>
                <w:color w:val="000000"/>
                <w:sz w:val="20"/>
                <w:szCs w:val="20"/>
              </w:rPr>
              <w:t>Requires coding; dashboards need extra tools.</w:t>
            </w:r>
          </w:p>
        </w:tc>
      </w:tr>
      <w:tr w14:paraId="44E9F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894AB83">
            <w:r>
              <w:rPr>
                <w:b w:val="0"/>
                <w:bCs w:val="0"/>
                <w:color w:val="000000"/>
                <w:sz w:val="20"/>
                <w:szCs w:val="20"/>
              </w:rPr>
              <w:t>Tableau</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1CE69EAA">
            <w:r>
              <w:rPr>
                <w:b w:val="0"/>
                <w:bCs w:val="0"/>
                <w:color w:val="000000"/>
                <w:sz w:val="20"/>
                <w:szCs w:val="20"/>
              </w:rPr>
              <w:t>Powerful visualization.</w:t>
            </w:r>
          </w:p>
        </w:tc>
        <w:tc>
          <w:tcPr>
            <w:tcW w:w="3513" w:type="dxa"/>
            <w:tcBorders>
              <w:top w:val="single" w:color="BFBFBF" w:sz="4" w:space="0"/>
              <w:left w:val="single" w:color="BFBFBF" w:sz="4" w:space="0"/>
              <w:bottom w:val="single" w:color="BFBFBF" w:sz="4" w:space="0"/>
              <w:right w:val="single" w:color="BFBFBF" w:sz="4" w:space="0"/>
            </w:tcBorders>
            <w:tcMar>
              <w:top w:w="70" w:type="dxa"/>
              <w:left w:w="100" w:type="dxa"/>
              <w:bottom w:w="70" w:type="dxa"/>
              <w:right w:w="100" w:type="dxa"/>
            </w:tcMar>
          </w:tcPr>
          <w:p w14:paraId="37D3F45F">
            <w:r>
              <w:rPr>
                <w:b w:val="0"/>
                <w:bCs w:val="0"/>
                <w:color w:val="000000"/>
                <w:sz w:val="20"/>
                <w:szCs w:val="20"/>
              </w:rPr>
              <w:t>Separate licensing; less integrated with the Microsoft ecosystem.</w:t>
            </w:r>
          </w:p>
        </w:tc>
      </w:tr>
    </w:tbl>
    <w:p w14:paraId="295391D5"/>
    <w:p w14:paraId="6C2B6199">
      <w:pPr>
        <w:spacing w:after="120" w:line="288" w:lineRule="auto"/>
      </w:pPr>
      <w:r>
        <w:t>Power BI was chosen because it covers the whole workflow, from cleaning to dashboard, and is the tool required by the project description.</w:t>
      </w:r>
    </w:p>
    <w:p w14:paraId="243C1292">
      <w:pPr>
        <w:pStyle w:val="2"/>
      </w:pPr>
      <w:r>
        <w:t>5. Gap and Contribution of This Project</w:t>
      </w:r>
    </w:p>
    <w:p w14:paraId="7437BF3C">
      <w:pPr>
        <w:spacing w:after="120" w:line="288" w:lineRule="auto"/>
      </w:pPr>
      <w:r>
        <w:t>Existing work often focuses either on delay performance or on revenue in isolation. This project combines both views in one interactive dashboard: it links service reliability (delays, cancellations, refunds) with commercial performance (revenue, ticket types, railcards) and adds a forecast of next month's rides and daily revenue. It also demonstrates a complete, documented workflow that other analysts can reproduce.</w:t>
      </w:r>
    </w:p>
    <w:p w14:paraId="7EEE3593">
      <w:pPr>
        <w:pStyle w:val="2"/>
      </w:pPr>
      <w:r>
        <w:t>6. Conclusion</w:t>
      </w:r>
    </w:p>
    <w:p w14:paraId="079F659F">
      <w:pPr>
        <w:spacing w:after="120" w:line="288" w:lineRule="auto"/>
      </w:pPr>
      <w:r>
        <w:t>The literature shows that effective railway analytics depends on clean data, clear performance measures, explainable forecasting, and well-designed dashboards. These ideas guide each stage of the project: cleaning in Week 1, analysis and forecasting in Week 2, dashboard building in Week 3, and the final presentation in Week 4.</w:t>
      </w:r>
    </w:p>
    <w:p w14:paraId="7D9CDF16">
      <w:pPr>
        <w:pStyle w:val="2"/>
        <w:rPr>
          <w:rFonts w:hint="cs" w:cs="Calibri"/>
          <w:lang w:val="en-US" w:bidi="ar-EG"/>
        </w:rPr>
      </w:pPr>
      <w:bookmarkStart w:id="0" w:name="_GoBack"/>
      <w:bookmarkEnd w:id="0"/>
    </w:p>
    <w:p w14:paraId="643D6E4D">
      <w:pPr>
        <w:pStyle w:val="16"/>
        <w:numPr>
          <w:numId w:val="0"/>
        </w:numPr>
        <w:spacing w:after="60"/>
      </w:pP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D0791">
    <w:pPr>
      <w:jc w:val="center"/>
    </w:pPr>
    <w:r>
      <w:rPr>
        <w:color w:val="7F7F7F"/>
        <w:sz w:val="18"/>
        <w:szCs w:val="18"/>
      </w:rPr>
      <w:t xml:space="preserve">UK Train Rides Analysis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63570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60"/>
      <w:outlineLvl w:val="0"/>
    </w:pPr>
    <w:rPr>
      <w:rFonts w:ascii="Calibri" w:hAnsi="Calibri" w:eastAsia="Calibri" w:cs="Calibri"/>
      <w:b/>
      <w:bCs/>
      <w:color w:val="1F4E79"/>
      <w:sz w:val="32"/>
      <w:szCs w:val="32"/>
    </w:rPr>
  </w:style>
  <w:style w:type="paragraph" w:styleId="3">
    <w:name w:val="heading 2"/>
    <w:next w:val="1"/>
    <w:qFormat/>
    <w:uiPriority w:val="0"/>
    <w:pPr>
      <w:spacing w:before="240" w:after="120"/>
      <w:outlineLvl w:val="1"/>
    </w:pPr>
    <w:rPr>
      <w:rFonts w:ascii="Calibri" w:hAnsi="Calibri" w:eastAsia="Calibri" w:cs="Calibri"/>
      <w:b/>
      <w:bCs/>
      <w:color w:val="2E75B6"/>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1041</Words>
  <Characters>6047</Characters>
  <TotalTime>9</TotalTime>
  <ScaleCrop>false</ScaleCrop>
  <LinksUpToDate>false</LinksUpToDate>
  <CharactersWithSpaces>7020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2026-10-16T15:32:00Z</dcterms:created>
  <dc:creator>Un-named</dc:creator>
  <cp:lastModifiedBy>Eman Nabil</cp:lastModifiedBy>
  <dcterms:modified xsi:type="dcterms:W3CDTF">2026-10-16T15:45:42Z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eyJoZGlkIjoiNDU1NzJiOWYwNDczMTQ4YzBkMGQ0NDgwOTVlM2I4YjIiLCJ1c2VySWQiOiIxNDQ0ODk2MTk3NzAyNCJ9</vt:lpwstr>
  </property>
  <property fmtid="{D5CDD505-2E9C-101B-9397-08002B2CF9AE}" pid="3" name="KSOProductBuildVer">
    <vt:lpwstr>1033-12.1.0.28485</vt:lpwstr>
  </property>
  <property fmtid="{D5CDD505-2E9C-101B-9397-08002B2CF9AE}" pid="4" name="ICV">
    <vt:lpwstr>35527A2ADF4147469601B9FE224FD2ED_13</vt:lpwstr>
  </property>
</Properties>
</file>