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Project</w:t>
      </w:r>
    </w:p>
    <w:p>
      <w:r>
        <w:t>This sample document demonstrates how docx2latex converts Word content into Overleaf-ready LaTeX.</w:t>
      </w:r>
    </w:p>
    <w:p>
      <w:r>
        <w:t>Key points:</w:t>
      </w:r>
    </w:p>
    <w:p>
      <w:pPr>
        <w:numPr>
          <w:ilvl w:val="0"/>
          <w:numId w:val="1"/>
        </w:numPr>
      </w:pPr>
      <w:r>
        <w:t>Extract text and headings</w:t>
      </w:r>
    </w:p>
    <w:p>
      <w:pPr>
        <w:numPr>
          <w:ilvl w:val="0"/>
          <w:numId w:val="1"/>
        </w:numPr>
      </w:pPr>
      <w:r>
        <w:t>Send content to a local model</w:t>
      </w:r>
    </w:p>
    <w:p>
      <w:r>
        <w:t>Generate Overleaf-ready LaTeX</w:t>
      </w:r>
    </w:p>
    <w:tbl>
      <w:tr>
        <w:tc>
          <w:p>
            <w:r>
              <w:t>Column A</w:t>
            </w:r>
          </w:p>
        </w:tc>
        <w:tc>
          <w:p>
            <w:r>
              <w:t>Column B</w:t>
            </w:r>
          </w:p>
        </w:tc>
      </w:tr>
      <w:tr>
        <w:tc>
          <w:p>
            <w:r>
              <w:t>Item 1</w:t>
            </w:r>
          </w:p>
        </w:tc>
        <w:tc>
          <w:p>
            <w:r>
              <w:t>Value 1</w:t>
            </w:r>
          </w:p>
        </w:tc>
      </w:tr>
    </w:tbl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docx2latex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creator>docx2latex</dc:creator>
  <cp:lastModifiedBy>docx2latex</cp:lastModifiedBy>
  <dcterms:created>2026-01-01T00:00:00Z</dcterms:created>
  <dcterms:modified>2026-01-01T00:00:00Z</dcterms:modified>
</cp:coreProperties>
</file>