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24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 SANTA CATARINA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8063230</wp:posOffset>
            </wp:positionH>
            <wp:positionV relativeFrom="paragraph">
              <wp:posOffset>73025</wp:posOffset>
            </wp:positionV>
            <wp:extent cx="1021080" cy="756285"/>
            <wp:effectExtent b="0" l="0" r="0" t="0"/>
            <wp:wrapSquare wrapText="bothSides" distB="0" distT="0" distL="0" distR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756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77470</wp:posOffset>
            </wp:positionV>
            <wp:extent cx="638175" cy="64770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SECRETARIA DE ESTADO DA EDUCAÇÃO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COORDENADORIA REGIONAL DE EDUCAÇÃO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EDUCAÇÃO PROFISSIONAL HERMANN HERING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Rua Benjamin Constant, 857, Escola Agrícola, CEP 89037-501.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                        Email: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highlight w:val="white"/>
            <w:u w:val="single"/>
            <w:vertAlign w:val="baseline"/>
            <w:rtl w:val="0"/>
          </w:rPr>
          <w:t xml:space="preserve">ceduphh@sed.sc.gov.br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Fone: 473378-8610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1d35"/>
          <w:sz w:val="24"/>
          <w:szCs w:val="24"/>
          <w:highlight w:val="white"/>
          <w:u w:val="none"/>
          <w:vertAlign w:val="baseline"/>
          <w:rtl w:val="0"/>
        </w:rPr>
        <w:t xml:space="preserve">PLANEJAMENTO MENSAL PERÍODO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1d35"/>
          <w:sz w:val="24"/>
          <w:szCs w:val="24"/>
          <w:highlight w:val="white"/>
          <w:rtl w:val="0"/>
        </w:rPr>
        <w:t xml:space="preserve">{{data_atual}}</w:t>
      </w:r>
      <w:r w:rsidDel="00000000" w:rsidR="00000000" w:rsidRPr="00000000">
        <w:rPr>
          <w:rtl w:val="0"/>
        </w:rPr>
      </w:r>
    </w:p>
    <w:tbl>
      <w:tblPr>
        <w:tblStyle w:val="Table1"/>
        <w:tblW w:w="15877.0" w:type="dxa"/>
        <w:jc w:val="left"/>
        <w:tblInd w:w="-3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8788"/>
        <w:gridCol w:w="3828"/>
        <w:tblGridChange w:id="0">
          <w:tblGrid>
            <w:gridCol w:w="3261"/>
            <w:gridCol w:w="8788"/>
            <w:gridCol w:w="3828"/>
          </w:tblGrid>
        </w:tblGridChange>
      </w:tblGrid>
      <w:tr>
        <w:trPr>
          <w:cantSplit w:val="1"/>
          <w:trHeight w:val="267" w:hRule="atLeast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{{professor}}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Área(s) do Conhecimento: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{{area_conhecimento}}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{{turma}}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 aulas semanais: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{{nro_aulas}}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{{componente_curricular}}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13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OBJETOS DE CONHECIMENTO( COMPONENTE CURRICULAR)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{{obj_conhecimento_compoenente_curricular}}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 DE CONHECIMENTO (CURRÍCULO EDUCAÇÃO DIGITAL):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{{obj_conhecimento_curriculo_digital}}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{{habilidades_componente_curricular}}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 CURRÍCULO DE EDUCAÇÃO DIGITAL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{{habilidade_curriculo_digital}}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EXPECTATIVAS DE APRENDIZAGEM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{{expectativas_aprendizagem}}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ENSINO APRENDIZAGEM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{{mtedologia_ensino}}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UTILIZADOS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{{recursos}}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4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CRITÉRIOS DE AVALIAÇÃO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{{criterios_avaliacao}}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4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INSTRUMENTOS     DIVERSIFICADOS DE AVALIAÇÃO  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DATAS PREVISTAS DE AVALIAÇÕES e RECUPERAÇÕES: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{{data_avaliacao}}</w:t>
            </w:r>
          </w:p>
        </w:tc>
      </w:tr>
      <w:tr>
        <w:trPr>
          <w:cantSplit w:val="1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19"/>
              </w:tabs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RECUPERAÇÃO PARALELA DE APRENDIZAGEM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{{recuperacao_paralela}}</w:t>
            </w:r>
          </w:p>
        </w:tc>
      </w:tr>
      <w:tr>
        <w:trPr>
          <w:cantSplit w:val="1"/>
          <w:trHeight w:val="2490" w:hRule="atLeast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ADAPTAÇÕES, ADEQUAÇÕES, FLEXIBILIZAÇÕES E OBSERVAÇÕES DO PROFESSOR REGENTE PARA O PÚBLICO DA EDUCAÇÃO ESPECIAL.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pacing w:after="160" w:before="2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{{adaptacoes_2professor}}</w:t>
            </w:r>
          </w:p>
        </w:tc>
      </w:tr>
      <w:tr>
        <w:trPr>
          <w:cantSplit w:val="1"/>
          <w:trHeight w:val="295" w:hRule="atLeast"/>
          <w:tblHeader w:val="1"/>
        </w:trPr>
        <w:tc>
          <w:tcPr>
            <w:shd w:fill="fbd5b5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 BIBLIOGRÁFICAS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{{referencias}}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7º.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Portaria Nº 874 de 01/04/2025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§4º- A periodicidade da postagem do plano de aula será de no máximo 30 dias, podendo, neste período, ser incluído mais de um planejamento a ser desenvolvido, de forma seqüencial, desde que um não sobreponha o outro.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eduphh@sed.sc.gov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kb2Aw0TUU6bSH7PkLkqmxFu8A==">CgMxLjA4AHIhMVpjZ094OXJBRWJhY0hGU1duaW1LaEdta2pHYkdyTlVV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