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ESTADO DE SANTA CATARINA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33350" distR="119380" hidden="0" layoutInCell="1" locked="0" relativeHeight="0" simplePos="0">
            <wp:simplePos x="0" y="0"/>
            <wp:positionH relativeFrom="column">
              <wp:posOffset>4922520</wp:posOffset>
            </wp:positionH>
            <wp:positionV relativeFrom="paragraph">
              <wp:posOffset>-92074</wp:posOffset>
            </wp:positionV>
            <wp:extent cx="1118870" cy="703580"/>
            <wp:effectExtent b="0" l="0" r="0" t="0"/>
            <wp:wrapSquare wrapText="bothSides" distB="0" distT="0" distL="133350" distR="119380"/>
            <wp:docPr descr="LOGOTIPO_CEDUP2" id="2" name="image1.png"/>
            <a:graphic>
              <a:graphicData uri="http://schemas.openxmlformats.org/drawingml/2006/picture">
                <pic:pic>
                  <pic:nvPicPr>
                    <pic:cNvPr descr="LOGOTIPO_CEDUP2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8870" cy="7035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8890</wp:posOffset>
            </wp:positionV>
            <wp:extent cx="838200" cy="610870"/>
            <wp:effectExtent b="0" l="0" r="0" t="0"/>
            <wp:wrapSquare wrapText="bothSides" distB="0" distT="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10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SECRETARIA DE ESTADO DA EDUCAÇÃO,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CENTRO DE EDUCAÇÃO PROFISSIONAL HERMANN HERING – CEDUPHH</w:t>
      </w: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CEDUP HERMANN HERING</w:t>
              <w:br w:type="textWrapping"/>
              <w:br w:type="textWrapping"/>
              <w:t xml:space="preserve">Professor(a): </w:t>
              <w:br w:type="textWrapping"/>
              <w:t xml:space="preserve">Área/Componente: </w:t>
              <w:br w:type="textWrapping"/>
              <w:t xml:space="preserve">Turma: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PLANO DE AULA (ATÉ 30 DIAS) - 2026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TEMÁTICA ABORDADA:</w:t>
              <w:br w:type="textWrapping"/>
              <w:br w:type="textWrapping"/>
              <w:t xml:space="preserve">- Carga horária prevista: </w:t>
              <w:br w:type="textWrapping"/>
              <w:t xml:space="preserve">- Data ou período de realização: </w:t>
              <w:br w:type="textWrapping"/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CONCEITOS ESTRUTURANTES E OBJETOS DO CONHECIMENTO:</w:t>
              <w:br w:type="textWrapping"/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HABILIDADES:</w:t>
              <w:br w:type="textWrapping"/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OBJETIVOS DE APRENDIZAGEM:</w:t>
              <w:br w:type="textWrapping"/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ATIVIDADE PROPOSTA/ METODOLOGIA:</w:t>
              <w:br w:type="textWrapping"/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AVALIAÇÃO:</w:t>
              <w:br w:type="textWrapping"/>
              <w:br w:type="textWrapping"/>
              <w:br w:type="textWrapping"/>
              <w:t xml:space="preserve">Recuperação paralela:</w:t>
              <w:br w:type="textWrapping"/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134" w:top="1134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iberation San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