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Clasificación y pronóstico con redes CNN y RNN</w:t>
      </w:r>
    </w:p>
    <w:p>
      <w:pPr>
        <w:spacing w:after="160"/>
      </w:pPr>
      <w:r>
        <w:rPr>
          <w:color w:val="464646"/>
          <w:sz w:val="19"/>
        </w:rPr>
        <w:t>Inteligencia Artificial | Trabajo práctico integrador | 30 de septiembre de 2026</w:t>
      </w:r>
    </w:p>
    <w:p>
      <w:pPr>
        <w:pStyle w:val="Heading1"/>
      </w:pPr>
      <w:r>
        <w:t>Objetivo y resultado principal</w:t>
      </w:r>
    </w:p>
    <w:p>
      <w:r>
        <w:t>Se diseñaron y evaluaron dos módulos en Keras. La CNN clasificó las diez categorías de Fashion-MNIST con 91,25 % de accuracy y 0,9127 de F1 macro. La RNN pronosticó temperatura sobre Jena Climate: la GRU de 64 unidades logró MAE 1.918 °C y RMSE 2.370 °C en prueba, superando al baseline persistente.</w:t>
      </w:r>
    </w:p>
    <w:p>
      <w:pPr>
        <w:pStyle w:val="Heading1"/>
      </w:pPr>
      <w:r>
        <w:t>Metodología general</w:t>
      </w:r>
    </w:p>
    <w:p>
      <w:r>
        <w:t>Los dos problemas se abordaron con el mismo criterio experimental: separar entrenamiento, validación y prueba; comparar alternativas bajo condiciones controladas; seleccionar el modelo exclusivamente con validación; y reservar prueba para una única evaluación final. En la CNN la entrada es espacial y la salida es una distribución entre clases. En la RNN la entrada es una secuencia multivariada y la salida es un valor continuo futuro. Por esa diferencia se usaron métricas y particiones específicas para cada módulo.</w:t>
      </w:r>
    </w:p>
    <w:p>
      <w:pPr>
        <w:pStyle w:val="Heading1"/>
      </w:pPr>
      <w:r>
        <w:t>Datos y partición</w:t>
      </w:r>
    </w:p>
    <w:p>
      <w:r>
        <w:t>Fashion-MNIST contiene 70.000 imágenes en escala de grises de 28 por 28 píxeles. Se conservaron las 10.000 imágenes oficiales de prueba y las 60.000 restantes se organizaron en 600 lotes contiguos de 100 muestras. StratifiedGroupKFold, con cinco particiones y semilla 42, asignó 480 lotes al entrenamiento y 120 a validación, sin compartir lotes entre ambos conjuntos.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c>
          <w:tcPr>
            <w:tcW w:type="dxa" w:w="3024"/>
            <w:vAlign w:val="center"/>
            <w:shd w:fill="1F4E78"/>
            <w:tcMar>
              <w:top w:w="90" w:type="dxa"/>
              <w:start w:w="90" w:type="dxa"/>
              <w:bottom w:w="90" w:type="dxa"/>
              <w:end w:w="90" w:type="dxa"/>
            </w:tcMar>
          </w:tcPr>
          <w:p>
            <w:pPr>
              <w:jc w:val="center"/>
            </w:pPr>
            <w:r>
              <w:rPr>
                <w:b/>
                <w:color w:val="FFFFFF"/>
                <w:sz w:val="18"/>
              </w:rPr>
              <w:t>Conjunto</w:t>
            </w:r>
          </w:p>
        </w:tc>
        <w:tc>
          <w:tcPr>
            <w:tcW w:type="dxa" w:w="1872"/>
            <w:vAlign w:val="center"/>
            <w:shd w:fill="1F4E78"/>
            <w:tcMar>
              <w:top w:w="90" w:type="dxa"/>
              <w:start w:w="90" w:type="dxa"/>
              <w:bottom w:w="90" w:type="dxa"/>
              <w:end w:w="90" w:type="dxa"/>
            </w:tcMar>
          </w:tcPr>
          <w:p>
            <w:pPr>
              <w:jc w:val="center"/>
            </w:pPr>
            <w:r>
              <w:rPr>
                <w:b/>
                <w:color w:val="FFFFFF"/>
                <w:sz w:val="18"/>
              </w:rPr>
              <w:t>Muestras</w:t>
            </w:r>
          </w:p>
        </w:tc>
        <w:tc>
          <w:tcPr>
            <w:tcW w:type="dxa" w:w="5112"/>
            <w:vAlign w:val="center"/>
            <w:shd w:fill="1F4E78"/>
            <w:tcMar>
              <w:top w:w="90" w:type="dxa"/>
              <w:start w:w="90" w:type="dxa"/>
              <w:bottom w:w="90" w:type="dxa"/>
              <w:end w:w="90" w:type="dxa"/>
            </w:tcMar>
          </w:tcPr>
          <w:p>
            <w:pPr>
              <w:jc w:val="center"/>
            </w:pPr>
            <w:r>
              <w:rPr>
                <w:b/>
                <w:color w:val="FFFFFF"/>
                <w:sz w:val="18"/>
              </w:rPr>
              <w:t>Uso</w:t>
            </w:r>
          </w:p>
        </w:tc>
      </w:tr>
      <w:tr>
        <w:tc>
          <w:tcPr>
            <w:tcW w:type="dxa" w:w="3024"/>
            <w:vAlign w:val="center"/>
            <w:tcMar>
              <w:top w:w="90" w:type="dxa"/>
              <w:start w:w="90" w:type="dxa"/>
              <w:bottom w:w="90" w:type="dxa"/>
              <w:end w:w="90" w:type="dxa"/>
            </w:tcMar>
          </w:tcPr>
          <w:p>
            <w:pPr>
              <w:jc w:val="left"/>
            </w:pPr>
            <w:r>
              <w:rPr>
                <w:sz w:val="17"/>
              </w:rPr>
              <w:t>Entrenamiento</w:t>
            </w:r>
          </w:p>
        </w:tc>
        <w:tc>
          <w:tcPr>
            <w:tcW w:type="dxa" w:w="1872"/>
            <w:vAlign w:val="center"/>
            <w:tcMar>
              <w:top w:w="90" w:type="dxa"/>
              <w:start w:w="90" w:type="dxa"/>
              <w:bottom w:w="90" w:type="dxa"/>
              <w:end w:w="90" w:type="dxa"/>
            </w:tcMar>
          </w:tcPr>
          <w:p>
            <w:pPr>
              <w:jc w:val="center"/>
            </w:pPr>
            <w:r>
              <w:rPr>
                <w:sz w:val="17"/>
              </w:rPr>
              <w:t>48.000</w:t>
            </w:r>
          </w:p>
        </w:tc>
        <w:tc>
          <w:tcPr>
            <w:tcW w:type="dxa" w:w="5112"/>
            <w:vAlign w:val="center"/>
            <w:tcMar>
              <w:top w:w="90" w:type="dxa"/>
              <w:start w:w="90" w:type="dxa"/>
              <w:bottom w:w="90" w:type="dxa"/>
              <w:end w:w="90" w:type="dxa"/>
            </w:tcMar>
          </w:tcPr>
          <w:p>
            <w:pPr>
              <w:jc w:val="center"/>
            </w:pPr>
            <w:r>
              <w:rPr>
                <w:sz w:val="17"/>
              </w:rPr>
              <w:t>Ajuste de pesos</w:t>
            </w:r>
          </w:p>
        </w:tc>
      </w:tr>
      <w:tr>
        <w:tc>
          <w:tcPr>
            <w:tcW w:type="dxa" w:w="3024"/>
            <w:vAlign w:val="center"/>
            <w:tcMar>
              <w:top w:w="90" w:type="dxa"/>
              <w:start w:w="90" w:type="dxa"/>
              <w:bottom w:w="90" w:type="dxa"/>
              <w:end w:w="90" w:type="dxa"/>
            </w:tcMar>
            <w:shd w:fill="EAF2F8"/>
          </w:tcPr>
          <w:p>
            <w:pPr>
              <w:jc w:val="left"/>
            </w:pPr>
            <w:r>
              <w:rPr>
                <w:sz w:val="17"/>
              </w:rPr>
              <w:t>Validación</w:t>
            </w:r>
          </w:p>
        </w:tc>
        <w:tc>
          <w:tcPr>
            <w:tcW w:type="dxa" w:w="1872"/>
            <w:vAlign w:val="center"/>
            <w:tcMar>
              <w:top w:w="90" w:type="dxa"/>
              <w:start w:w="90" w:type="dxa"/>
              <w:bottom w:w="90" w:type="dxa"/>
              <w:end w:w="90" w:type="dxa"/>
            </w:tcMar>
            <w:shd w:fill="EAF2F8"/>
          </w:tcPr>
          <w:p>
            <w:pPr>
              <w:jc w:val="center"/>
            </w:pPr>
            <w:r>
              <w:rPr>
                <w:sz w:val="17"/>
              </w:rPr>
              <w:t>12.000</w:t>
            </w:r>
          </w:p>
        </w:tc>
        <w:tc>
          <w:tcPr>
            <w:tcW w:type="dxa" w:w="5112"/>
            <w:vAlign w:val="center"/>
            <w:tcMar>
              <w:top w:w="90" w:type="dxa"/>
              <w:start w:w="90" w:type="dxa"/>
              <w:bottom w:w="90" w:type="dxa"/>
              <w:end w:w="90" w:type="dxa"/>
            </w:tcMar>
            <w:shd w:fill="EAF2F8"/>
          </w:tcPr>
          <w:p>
            <w:pPr>
              <w:jc w:val="center"/>
            </w:pPr>
            <w:r>
              <w:rPr>
                <w:sz w:val="17"/>
              </w:rPr>
              <w:t>Selección del modelo</w:t>
            </w:r>
          </w:p>
        </w:tc>
      </w:tr>
      <w:tr>
        <w:tc>
          <w:tcPr>
            <w:tcW w:type="dxa" w:w="3024"/>
            <w:vAlign w:val="center"/>
            <w:tcMar>
              <w:top w:w="90" w:type="dxa"/>
              <w:start w:w="90" w:type="dxa"/>
              <w:bottom w:w="90" w:type="dxa"/>
              <w:end w:w="90" w:type="dxa"/>
            </w:tcMar>
          </w:tcPr>
          <w:p>
            <w:pPr>
              <w:jc w:val="left"/>
            </w:pPr>
            <w:r>
              <w:rPr>
                <w:sz w:val="17"/>
              </w:rPr>
              <w:t>Prueba</w:t>
            </w:r>
          </w:p>
        </w:tc>
        <w:tc>
          <w:tcPr>
            <w:tcW w:type="dxa" w:w="1872"/>
            <w:vAlign w:val="center"/>
            <w:tcMar>
              <w:top w:w="90" w:type="dxa"/>
              <w:start w:w="90" w:type="dxa"/>
              <w:bottom w:w="90" w:type="dxa"/>
              <w:end w:w="90" w:type="dxa"/>
            </w:tcMar>
          </w:tcPr>
          <w:p>
            <w:pPr>
              <w:jc w:val="center"/>
            </w:pPr>
            <w:r>
              <w:rPr>
                <w:sz w:val="17"/>
              </w:rPr>
              <w:t>10.000</w:t>
            </w:r>
          </w:p>
        </w:tc>
        <w:tc>
          <w:tcPr>
            <w:tcW w:type="dxa" w:w="5112"/>
            <w:vAlign w:val="center"/>
            <w:tcMar>
              <w:top w:w="90" w:type="dxa"/>
              <w:start w:w="90" w:type="dxa"/>
              <w:bottom w:w="90" w:type="dxa"/>
              <w:end w:w="90" w:type="dxa"/>
            </w:tcMar>
          </w:tcPr>
          <w:p>
            <w:pPr>
              <w:jc w:val="center"/>
            </w:pPr>
            <w:r>
              <w:rPr>
                <w:sz w:val="17"/>
              </w:rPr>
              <w:t>Evaluación final</w:t>
            </w:r>
          </w:p>
        </w:tc>
      </w:tr>
    </w:tbl>
    <w:p>
      <w:r>
        <w:t>Los valores de píxel se transformaron de [0, 255] a [0, 1] y se agregó el canal de profundidad, por lo que cada entrada tiene forma 28 x 28 x 1. Fashion-MNIST no publica identificadores de sujeto o procedencia; por eso los grupos representan lotes de origen y controlan el solapamiento de muestras, pero no permiten medir generalización entre personas.</w:t>
      </w:r>
    </w:p>
    <w:p>
      <w:pPr>
        <w:pStyle w:val="Heading1"/>
      </w:pPr>
      <w:r>
        <w:t>Fundamento matemático y arquitectura</w:t>
      </w:r>
    </w:p>
    <w:p>
      <w:r>
        <w:t>Cada capa Conv2D aplica filtros aprendibles de 3 x 3. En cada posición calcula la suma de productos entre el vecindario de entrada y los pesos del filtro, agrega un sesgo y aplica ReLU. El padding same conserva las dimensiones espaciales y el stride 1 examina todas las posiciones. MaxPooling de 2 x 2 reduce ancho y alto a la mitad y aporta tolerancia a desplazamientos pequeños.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c>
          <w:tcPr>
            <w:tcW w:type="dxa" w:w="3528"/>
            <w:vAlign w:val="center"/>
            <w:shd w:fill="1F4E78"/>
            <w:tcMar>
              <w:top w:w="90" w:type="dxa"/>
              <w:start w:w="90" w:type="dxa"/>
              <w:bottom w:w="90" w:type="dxa"/>
              <w:end w:w="90" w:type="dxa"/>
            </w:tcMar>
          </w:tcPr>
          <w:p>
            <w:pPr>
              <w:jc w:val="center"/>
            </w:pPr>
            <w:r>
              <w:rPr>
                <w:b/>
                <w:color w:val="FFFFFF"/>
                <w:sz w:val="18"/>
              </w:rPr>
              <w:t>Etapa del modelo elegido</w:t>
            </w:r>
          </w:p>
        </w:tc>
        <w:tc>
          <w:tcPr>
            <w:tcW w:type="dxa" w:w="2088"/>
            <w:vAlign w:val="center"/>
            <w:shd w:fill="1F4E78"/>
            <w:tcMar>
              <w:top w:w="90" w:type="dxa"/>
              <w:start w:w="90" w:type="dxa"/>
              <w:bottom w:w="90" w:type="dxa"/>
              <w:end w:w="90" w:type="dxa"/>
            </w:tcMar>
          </w:tcPr>
          <w:p>
            <w:pPr>
              <w:jc w:val="center"/>
            </w:pPr>
            <w:r>
              <w:rPr>
                <w:b/>
                <w:color w:val="FFFFFF"/>
                <w:sz w:val="18"/>
              </w:rPr>
              <w:t>Salida</w:t>
            </w:r>
          </w:p>
        </w:tc>
        <w:tc>
          <w:tcPr>
            <w:tcW w:type="dxa" w:w="4392"/>
            <w:vAlign w:val="center"/>
            <w:shd w:fill="1F4E78"/>
            <w:tcMar>
              <w:top w:w="90" w:type="dxa"/>
              <w:start w:w="90" w:type="dxa"/>
              <w:bottom w:w="90" w:type="dxa"/>
              <w:end w:w="90" w:type="dxa"/>
            </w:tcMar>
          </w:tcPr>
          <w:p>
            <w:pPr>
              <w:jc w:val="center"/>
            </w:pPr>
            <w:r>
              <w:rPr>
                <w:b/>
                <w:color w:val="FFFFFF"/>
                <w:sz w:val="18"/>
              </w:rPr>
              <w:t>Propósito</w:t>
            </w:r>
          </w:p>
        </w:tc>
      </w:tr>
      <w:tr>
        <w:tc>
          <w:tcPr>
            <w:tcW w:type="dxa" w:w="3528"/>
            <w:vAlign w:val="center"/>
            <w:tcMar>
              <w:top w:w="90" w:type="dxa"/>
              <w:start w:w="90" w:type="dxa"/>
              <w:bottom w:w="90" w:type="dxa"/>
              <w:end w:w="90" w:type="dxa"/>
            </w:tcMar>
          </w:tcPr>
          <w:p>
            <w:pPr>
              <w:jc w:val="left"/>
            </w:pPr>
            <w:r>
              <w:rPr>
                <w:sz w:val="17"/>
              </w:rPr>
              <w:t>Entrada</w:t>
            </w:r>
          </w:p>
        </w:tc>
        <w:tc>
          <w:tcPr>
            <w:tcW w:type="dxa" w:w="2088"/>
            <w:vAlign w:val="center"/>
            <w:tcMar>
              <w:top w:w="90" w:type="dxa"/>
              <w:start w:w="90" w:type="dxa"/>
              <w:bottom w:w="90" w:type="dxa"/>
              <w:end w:w="90" w:type="dxa"/>
            </w:tcMar>
          </w:tcPr>
          <w:p>
            <w:pPr>
              <w:jc w:val="center"/>
            </w:pPr>
            <w:r>
              <w:rPr>
                <w:sz w:val="17"/>
              </w:rPr>
              <w:t>28 x 28 x 1</w:t>
            </w:r>
          </w:p>
        </w:tc>
        <w:tc>
          <w:tcPr>
            <w:tcW w:type="dxa" w:w="4392"/>
            <w:vAlign w:val="center"/>
            <w:tcMar>
              <w:top w:w="90" w:type="dxa"/>
              <w:start w:w="90" w:type="dxa"/>
              <w:bottom w:w="90" w:type="dxa"/>
              <w:end w:w="90" w:type="dxa"/>
            </w:tcMar>
          </w:tcPr>
          <w:p>
            <w:pPr>
              <w:jc w:val="center"/>
            </w:pPr>
            <w:r>
              <w:rPr>
                <w:sz w:val="17"/>
              </w:rPr>
              <w:t>Imagen normalizada</w:t>
            </w:r>
          </w:p>
        </w:tc>
      </w:tr>
      <w:tr>
        <w:tc>
          <w:tcPr>
            <w:tcW w:type="dxa" w:w="3528"/>
            <w:vAlign w:val="center"/>
            <w:tcMar>
              <w:top w:w="90" w:type="dxa"/>
              <w:start w:w="90" w:type="dxa"/>
              <w:bottom w:w="90" w:type="dxa"/>
              <w:end w:w="90" w:type="dxa"/>
            </w:tcMar>
            <w:shd w:fill="EAF2F8"/>
          </w:tcPr>
          <w:p>
            <w:pPr>
              <w:jc w:val="left"/>
            </w:pPr>
            <w:r>
              <w:rPr>
                <w:sz w:val="17"/>
              </w:rPr>
              <w:t>Conv2D 32 y ReLU</w:t>
            </w:r>
          </w:p>
        </w:tc>
        <w:tc>
          <w:tcPr>
            <w:tcW w:type="dxa" w:w="2088"/>
            <w:vAlign w:val="center"/>
            <w:tcMar>
              <w:top w:w="90" w:type="dxa"/>
              <w:start w:w="90" w:type="dxa"/>
              <w:bottom w:w="90" w:type="dxa"/>
              <w:end w:w="90" w:type="dxa"/>
            </w:tcMar>
            <w:shd w:fill="EAF2F8"/>
          </w:tcPr>
          <w:p>
            <w:pPr>
              <w:jc w:val="center"/>
            </w:pPr>
            <w:r>
              <w:rPr>
                <w:sz w:val="17"/>
              </w:rPr>
              <w:t>28 x 28 x 32</w:t>
            </w:r>
          </w:p>
        </w:tc>
        <w:tc>
          <w:tcPr>
            <w:tcW w:type="dxa" w:w="4392"/>
            <w:vAlign w:val="center"/>
            <w:tcMar>
              <w:top w:w="90" w:type="dxa"/>
              <w:start w:w="90" w:type="dxa"/>
              <w:bottom w:w="90" w:type="dxa"/>
              <w:end w:w="90" w:type="dxa"/>
            </w:tcMar>
            <w:shd w:fill="EAF2F8"/>
          </w:tcPr>
          <w:p>
            <w:pPr>
              <w:jc w:val="center"/>
            </w:pPr>
            <w:r>
              <w:rPr>
                <w:sz w:val="17"/>
              </w:rPr>
              <w:t>Bordes y texturas locales</w:t>
            </w:r>
          </w:p>
        </w:tc>
      </w:tr>
      <w:tr>
        <w:tc>
          <w:tcPr>
            <w:tcW w:type="dxa" w:w="3528"/>
            <w:vAlign w:val="center"/>
            <w:tcMar>
              <w:top w:w="90" w:type="dxa"/>
              <w:start w:w="90" w:type="dxa"/>
              <w:bottom w:w="90" w:type="dxa"/>
              <w:end w:w="90" w:type="dxa"/>
            </w:tcMar>
          </w:tcPr>
          <w:p>
            <w:pPr>
              <w:jc w:val="left"/>
            </w:pPr>
            <w:r>
              <w:rPr>
                <w:sz w:val="17"/>
              </w:rPr>
              <w:t>MaxPooling</w:t>
            </w:r>
          </w:p>
        </w:tc>
        <w:tc>
          <w:tcPr>
            <w:tcW w:type="dxa" w:w="2088"/>
            <w:vAlign w:val="center"/>
            <w:tcMar>
              <w:top w:w="90" w:type="dxa"/>
              <w:start w:w="90" w:type="dxa"/>
              <w:bottom w:w="90" w:type="dxa"/>
              <w:end w:w="90" w:type="dxa"/>
            </w:tcMar>
          </w:tcPr>
          <w:p>
            <w:pPr>
              <w:jc w:val="center"/>
            </w:pPr>
            <w:r>
              <w:rPr>
                <w:sz w:val="17"/>
              </w:rPr>
              <w:t>14 x 14 x 32</w:t>
            </w:r>
          </w:p>
        </w:tc>
        <w:tc>
          <w:tcPr>
            <w:tcW w:type="dxa" w:w="4392"/>
            <w:vAlign w:val="center"/>
            <w:tcMar>
              <w:top w:w="90" w:type="dxa"/>
              <w:start w:w="90" w:type="dxa"/>
              <w:bottom w:w="90" w:type="dxa"/>
              <w:end w:w="90" w:type="dxa"/>
            </w:tcMar>
          </w:tcPr>
          <w:p>
            <w:pPr>
              <w:jc w:val="center"/>
            </w:pPr>
            <w:r>
              <w:rPr>
                <w:sz w:val="17"/>
              </w:rPr>
              <w:t>Reducción espacial</w:t>
            </w:r>
          </w:p>
        </w:tc>
      </w:tr>
      <w:tr>
        <w:tc>
          <w:tcPr>
            <w:tcW w:type="dxa" w:w="3528"/>
            <w:vAlign w:val="center"/>
            <w:tcMar>
              <w:top w:w="90" w:type="dxa"/>
              <w:start w:w="90" w:type="dxa"/>
              <w:bottom w:w="90" w:type="dxa"/>
              <w:end w:w="90" w:type="dxa"/>
            </w:tcMar>
            <w:shd w:fill="EAF2F8"/>
          </w:tcPr>
          <w:p>
            <w:pPr>
              <w:jc w:val="left"/>
            </w:pPr>
            <w:r>
              <w:rPr>
                <w:sz w:val="17"/>
              </w:rPr>
              <w:t>Conv2D 64 y ReLU</w:t>
            </w:r>
          </w:p>
        </w:tc>
        <w:tc>
          <w:tcPr>
            <w:tcW w:type="dxa" w:w="2088"/>
            <w:vAlign w:val="center"/>
            <w:tcMar>
              <w:top w:w="90" w:type="dxa"/>
              <w:start w:w="90" w:type="dxa"/>
              <w:bottom w:w="90" w:type="dxa"/>
              <w:end w:w="90" w:type="dxa"/>
            </w:tcMar>
            <w:shd w:fill="EAF2F8"/>
          </w:tcPr>
          <w:p>
            <w:pPr>
              <w:jc w:val="center"/>
            </w:pPr>
            <w:r>
              <w:rPr>
                <w:sz w:val="17"/>
              </w:rPr>
              <w:t>14 x 14 x 64</w:t>
            </w:r>
          </w:p>
        </w:tc>
        <w:tc>
          <w:tcPr>
            <w:tcW w:type="dxa" w:w="4392"/>
            <w:vAlign w:val="center"/>
            <w:tcMar>
              <w:top w:w="90" w:type="dxa"/>
              <w:start w:w="90" w:type="dxa"/>
              <w:bottom w:w="90" w:type="dxa"/>
              <w:end w:w="90" w:type="dxa"/>
            </w:tcMar>
            <w:shd w:fill="EAF2F8"/>
          </w:tcPr>
          <w:p>
            <w:pPr>
              <w:jc w:val="center"/>
            </w:pPr>
            <w:r>
              <w:rPr>
                <w:sz w:val="17"/>
              </w:rPr>
              <w:t>Patrones de mayor nivel</w:t>
            </w:r>
          </w:p>
        </w:tc>
      </w:tr>
      <w:tr>
        <w:tc>
          <w:tcPr>
            <w:tcW w:type="dxa" w:w="3528"/>
            <w:vAlign w:val="center"/>
            <w:tcMar>
              <w:top w:w="90" w:type="dxa"/>
              <w:start w:w="90" w:type="dxa"/>
              <w:bottom w:w="90" w:type="dxa"/>
              <w:end w:w="90" w:type="dxa"/>
            </w:tcMar>
          </w:tcPr>
          <w:p>
            <w:pPr>
              <w:jc w:val="left"/>
            </w:pPr>
            <w:r>
              <w:rPr>
                <w:sz w:val="17"/>
              </w:rPr>
              <w:t>MaxPooling</w:t>
            </w:r>
          </w:p>
        </w:tc>
        <w:tc>
          <w:tcPr>
            <w:tcW w:type="dxa" w:w="2088"/>
            <w:vAlign w:val="center"/>
            <w:tcMar>
              <w:top w:w="90" w:type="dxa"/>
              <w:start w:w="90" w:type="dxa"/>
              <w:bottom w:w="90" w:type="dxa"/>
              <w:end w:w="90" w:type="dxa"/>
            </w:tcMar>
          </w:tcPr>
          <w:p>
            <w:pPr>
              <w:jc w:val="center"/>
            </w:pPr>
            <w:r>
              <w:rPr>
                <w:sz w:val="17"/>
              </w:rPr>
              <w:t>7 x 7 x 64</w:t>
            </w:r>
          </w:p>
        </w:tc>
        <w:tc>
          <w:tcPr>
            <w:tcW w:type="dxa" w:w="4392"/>
            <w:vAlign w:val="center"/>
            <w:tcMar>
              <w:top w:w="90" w:type="dxa"/>
              <w:start w:w="90" w:type="dxa"/>
              <w:bottom w:w="90" w:type="dxa"/>
              <w:end w:w="90" w:type="dxa"/>
            </w:tcMar>
          </w:tcPr>
          <w:p>
            <w:pPr>
              <w:jc w:val="center"/>
            </w:pPr>
            <w:r>
              <w:rPr>
                <w:sz w:val="17"/>
              </w:rPr>
              <w:t>Síntesis de características</w:t>
            </w:r>
          </w:p>
        </w:tc>
      </w:tr>
      <w:tr>
        <w:tc>
          <w:tcPr>
            <w:tcW w:type="dxa" w:w="3528"/>
            <w:vAlign w:val="center"/>
            <w:tcMar>
              <w:top w:w="90" w:type="dxa"/>
              <w:start w:w="90" w:type="dxa"/>
              <w:bottom w:w="90" w:type="dxa"/>
              <w:end w:w="90" w:type="dxa"/>
            </w:tcMar>
            <w:shd w:fill="EAF2F8"/>
          </w:tcPr>
          <w:p>
            <w:pPr>
              <w:jc w:val="left"/>
            </w:pPr>
            <w:r>
              <w:rPr>
                <w:sz w:val="17"/>
              </w:rPr>
              <w:t>Flatten y Dense 128</w:t>
            </w:r>
          </w:p>
        </w:tc>
        <w:tc>
          <w:tcPr>
            <w:tcW w:type="dxa" w:w="2088"/>
            <w:vAlign w:val="center"/>
            <w:tcMar>
              <w:top w:w="90" w:type="dxa"/>
              <w:start w:w="90" w:type="dxa"/>
              <w:bottom w:w="90" w:type="dxa"/>
              <w:end w:w="90" w:type="dxa"/>
            </w:tcMar>
            <w:shd w:fill="EAF2F8"/>
          </w:tcPr>
          <w:p>
            <w:pPr>
              <w:jc w:val="center"/>
            </w:pPr>
            <w:r>
              <w:rPr>
                <w:sz w:val="17"/>
              </w:rPr>
              <w:t>128</w:t>
            </w:r>
          </w:p>
        </w:tc>
        <w:tc>
          <w:tcPr>
            <w:tcW w:type="dxa" w:w="4392"/>
            <w:vAlign w:val="center"/>
            <w:tcMar>
              <w:top w:w="90" w:type="dxa"/>
              <w:start w:w="90" w:type="dxa"/>
              <w:bottom w:w="90" w:type="dxa"/>
              <w:end w:w="90" w:type="dxa"/>
            </w:tcMar>
            <w:shd w:fill="EAF2F8"/>
          </w:tcPr>
          <w:p>
            <w:pPr>
              <w:jc w:val="center"/>
            </w:pPr>
            <w:r>
              <w:rPr>
                <w:sz w:val="17"/>
              </w:rPr>
              <w:t>Integración global</w:t>
            </w:r>
          </w:p>
        </w:tc>
      </w:tr>
      <w:tr>
        <w:tc>
          <w:tcPr>
            <w:tcW w:type="dxa" w:w="3528"/>
            <w:vAlign w:val="center"/>
            <w:tcMar>
              <w:top w:w="90" w:type="dxa"/>
              <w:start w:w="90" w:type="dxa"/>
              <w:bottom w:w="90" w:type="dxa"/>
              <w:end w:w="90" w:type="dxa"/>
            </w:tcMar>
          </w:tcPr>
          <w:p>
            <w:pPr>
              <w:jc w:val="left"/>
            </w:pPr>
            <w:r>
              <w:rPr>
                <w:sz w:val="17"/>
              </w:rPr>
              <w:t>Dense y Softmax</w:t>
            </w:r>
          </w:p>
        </w:tc>
        <w:tc>
          <w:tcPr>
            <w:tcW w:type="dxa" w:w="2088"/>
            <w:vAlign w:val="center"/>
            <w:tcMar>
              <w:top w:w="90" w:type="dxa"/>
              <w:start w:w="90" w:type="dxa"/>
              <w:bottom w:w="90" w:type="dxa"/>
              <w:end w:w="90" w:type="dxa"/>
            </w:tcMar>
          </w:tcPr>
          <w:p>
            <w:pPr>
              <w:jc w:val="center"/>
            </w:pPr>
            <w:r>
              <w:rPr>
                <w:sz w:val="17"/>
              </w:rPr>
              <w:t>10</w:t>
            </w:r>
          </w:p>
        </w:tc>
        <w:tc>
          <w:tcPr>
            <w:tcW w:type="dxa" w:w="4392"/>
            <w:vAlign w:val="center"/>
            <w:tcMar>
              <w:top w:w="90" w:type="dxa"/>
              <w:start w:w="90" w:type="dxa"/>
              <w:bottom w:w="90" w:type="dxa"/>
              <w:end w:w="90" w:type="dxa"/>
            </w:tcMar>
          </w:tcPr>
          <w:p>
            <w:pPr>
              <w:jc w:val="center"/>
            </w:pPr>
            <w:r>
              <w:rPr>
                <w:sz w:val="17"/>
              </w:rPr>
              <w:t>Probabilidad por clase</w:t>
            </w:r>
          </w:p>
        </w:tc>
      </w:tr>
    </w:tbl>
    <w:p>
      <w:pPr>
        <w:pStyle w:val="Heading2"/>
      </w:pPr>
      <w:r>
        <w:t>Activaciones y función de pérdida</w:t>
      </w:r>
    </w:p>
    <w:p>
      <w:r>
        <w:t>ReLU se utilizó en las capas convolucionales y densas porque introduce no linealidad sin saturar su región positiva y permite aprender jerarquías de bordes, texturas y formas. La salida Softmax transforma los diez logits en una distribución de probabilidades que suma uno. Sparse categorical cross-entropy es adecuada porque cada imagen posee una sola etiqueta entera y penaliza que el modelo asigne baja probabilidad a la clase correcta.</w:t>
      </w:r>
    </w:p>
    <w:p>
      <w:r>
        <w:t>Las arquitecturas se mantuvieron comparables mediante la misma partición, semilla, tamaño de lote y cantidad máxima de épocas. Se variaron capacidad y regularización para observar el compromiso entre sesgo y varianza sin ajustar hiperparámetros sobre el conjunto de prueba.</w:t>
      </w:r>
    </w:p>
    <w:p>
      <w:pPr>
        <w:pStyle w:val="Heading1"/>
      </w:pPr>
      <w:r>
        <w:t>Entrenamiento y control del ajuste</w:t>
      </w:r>
    </w:p>
    <w:p>
      <w:r>
        <w:t>Los tres modelos se entrenaron durante un máximo de diez épocas, con lotes de 128 imágenes. Adam utilizó un learning rate inicial de 0,001 y la función de pérdida fue sparse categorical cross-entropy. EarlyStopping restauró los mejores pesos, ReduceLROnPlateau redujo el learning rate ante estancamiento y ModelCheckpoint conservó la menor pérdida de validación.</w:t>
      </w:r>
    </w:p>
    <w:p>
      <w:pPr>
        <w:pStyle w:val="Heading1"/>
      </w:pPr>
      <w:r>
        <w:t>Comparación experimental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94"/>
        <w:gridCol w:w="1694"/>
        <w:gridCol w:w="1694"/>
        <w:gridCol w:w="1694"/>
        <w:gridCol w:w="1694"/>
        <w:gridCol w:w="1694"/>
      </w:tblGrid>
      <w:tr>
        <w:tc>
          <w:tcPr>
            <w:tcW w:type="dxa" w:w="2088"/>
            <w:vAlign w:val="center"/>
            <w:shd w:fill="1F4E78"/>
            <w:tcMar>
              <w:top w:w="90" w:type="dxa"/>
              <w:start w:w="90" w:type="dxa"/>
              <w:bottom w:w="90" w:type="dxa"/>
              <w:end w:w="90" w:type="dxa"/>
            </w:tcMar>
          </w:tcPr>
          <w:p>
            <w:pPr>
              <w:jc w:val="center"/>
            </w:pPr>
            <w:r>
              <w:rPr>
                <w:b/>
                <w:color w:val="FFFFFF"/>
                <w:sz w:val="18"/>
              </w:rPr>
              <w:t>Modelo</w:t>
            </w:r>
          </w:p>
        </w:tc>
        <w:tc>
          <w:tcPr>
            <w:tcW w:type="dxa" w:w="1512"/>
            <w:vAlign w:val="center"/>
            <w:shd w:fill="1F4E78"/>
            <w:tcMar>
              <w:top w:w="90" w:type="dxa"/>
              <w:start w:w="90" w:type="dxa"/>
              <w:bottom w:w="90" w:type="dxa"/>
              <w:end w:w="90" w:type="dxa"/>
            </w:tcMar>
          </w:tcPr>
          <w:p>
            <w:pPr>
              <w:jc w:val="center"/>
            </w:pPr>
            <w:r>
              <w:rPr>
                <w:b/>
                <w:color w:val="FFFFFF"/>
                <w:sz w:val="18"/>
              </w:rPr>
              <w:t>Parámetros</w:t>
            </w:r>
          </w:p>
        </w:tc>
        <w:tc>
          <w:tcPr>
            <w:tcW w:type="dxa" w:w="936"/>
            <w:vAlign w:val="center"/>
            <w:shd w:fill="1F4E78"/>
            <w:tcMar>
              <w:top w:w="90" w:type="dxa"/>
              <w:start w:w="90" w:type="dxa"/>
              <w:bottom w:w="90" w:type="dxa"/>
              <w:end w:w="90" w:type="dxa"/>
            </w:tcMar>
          </w:tcPr>
          <w:p>
            <w:pPr>
              <w:jc w:val="center"/>
            </w:pPr>
            <w:r>
              <w:rPr>
                <w:b/>
                <w:color w:val="FFFFFF"/>
                <w:sz w:val="18"/>
              </w:rPr>
              <w:t>Época</w:t>
            </w:r>
          </w:p>
        </w:tc>
        <w:tc>
          <w:tcPr>
            <w:tcW w:type="dxa" w:w="1656"/>
            <w:vAlign w:val="center"/>
            <w:shd w:fill="1F4E78"/>
            <w:tcMar>
              <w:top w:w="90" w:type="dxa"/>
              <w:start w:w="90" w:type="dxa"/>
              <w:bottom w:w="90" w:type="dxa"/>
              <w:end w:w="90" w:type="dxa"/>
            </w:tcMar>
          </w:tcPr>
          <w:p>
            <w:pPr>
              <w:jc w:val="center"/>
            </w:pPr>
            <w:r>
              <w:rPr>
                <w:b/>
                <w:color w:val="FFFFFF"/>
                <w:sz w:val="18"/>
              </w:rPr>
              <w:t>Train acc</w:t>
            </w:r>
          </w:p>
        </w:tc>
        <w:tc>
          <w:tcPr>
            <w:tcW w:type="dxa" w:w="1656"/>
            <w:vAlign w:val="center"/>
            <w:shd w:fill="1F4E78"/>
            <w:tcMar>
              <w:top w:w="90" w:type="dxa"/>
              <w:start w:w="90" w:type="dxa"/>
              <w:bottom w:w="90" w:type="dxa"/>
              <w:end w:w="90" w:type="dxa"/>
            </w:tcMar>
          </w:tcPr>
          <w:p>
            <w:pPr>
              <w:jc w:val="center"/>
            </w:pPr>
            <w:r>
              <w:rPr>
                <w:b/>
                <w:color w:val="FFFFFF"/>
                <w:sz w:val="18"/>
              </w:rPr>
              <w:t>Val acc</w:t>
            </w:r>
          </w:p>
        </w:tc>
        <w:tc>
          <w:tcPr>
            <w:tcW w:type="dxa" w:w="1512"/>
            <w:vAlign w:val="center"/>
            <w:shd w:fill="1F4E78"/>
            <w:tcMar>
              <w:top w:w="90" w:type="dxa"/>
              <w:start w:w="90" w:type="dxa"/>
              <w:bottom w:w="90" w:type="dxa"/>
              <w:end w:w="90" w:type="dxa"/>
            </w:tcMar>
          </w:tcPr>
          <w:p>
            <w:pPr>
              <w:jc w:val="center"/>
            </w:pPr>
            <w:r>
              <w:rPr>
                <w:b/>
                <w:color w:val="FFFFFF"/>
                <w:sz w:val="18"/>
              </w:rPr>
              <w:t>Val loss</w:t>
            </w:r>
          </w:p>
        </w:tc>
      </w:tr>
      <w:tr>
        <w:tc>
          <w:tcPr>
            <w:tcW w:type="dxa" w:w="2088"/>
            <w:vAlign w:val="center"/>
            <w:tcMar>
              <w:top w:w="90" w:type="dxa"/>
              <w:start w:w="90" w:type="dxa"/>
              <w:bottom w:w="90" w:type="dxa"/>
              <w:end w:w="90" w:type="dxa"/>
            </w:tcMar>
          </w:tcPr>
          <w:p>
            <w:pPr>
              <w:jc w:val="left"/>
            </w:pPr>
            <w:r>
              <w:rPr>
                <w:sz w:val="17"/>
              </w:rPr>
              <w:t>Base</w:t>
            </w:r>
          </w:p>
        </w:tc>
        <w:tc>
          <w:tcPr>
            <w:tcW w:type="dxa" w:w="1512"/>
            <w:vAlign w:val="center"/>
            <w:tcMar>
              <w:top w:w="90" w:type="dxa"/>
              <w:start w:w="90" w:type="dxa"/>
              <w:bottom w:w="90" w:type="dxa"/>
              <w:end w:w="90" w:type="dxa"/>
            </w:tcMar>
          </w:tcPr>
          <w:p>
            <w:pPr>
              <w:jc w:val="center"/>
            </w:pPr>
            <w:r>
              <w:rPr>
                <w:sz w:val="17"/>
              </w:rPr>
              <w:t>421.642</w:t>
            </w:r>
          </w:p>
        </w:tc>
        <w:tc>
          <w:tcPr>
            <w:tcW w:type="dxa" w:w="936"/>
            <w:vAlign w:val="center"/>
            <w:tcMar>
              <w:top w:w="90" w:type="dxa"/>
              <w:start w:w="90" w:type="dxa"/>
              <w:bottom w:w="90" w:type="dxa"/>
              <w:end w:w="90" w:type="dxa"/>
            </w:tcMar>
          </w:tcPr>
          <w:p>
            <w:pPr>
              <w:jc w:val="center"/>
            </w:pPr>
            <w:r>
              <w:rPr>
                <w:sz w:val="17"/>
              </w:rPr>
              <w:t>7</w:t>
            </w:r>
          </w:p>
        </w:tc>
        <w:tc>
          <w:tcPr>
            <w:tcW w:type="dxa" w:w="1656"/>
            <w:vAlign w:val="center"/>
            <w:tcMar>
              <w:top w:w="90" w:type="dxa"/>
              <w:start w:w="90" w:type="dxa"/>
              <w:bottom w:w="90" w:type="dxa"/>
              <w:end w:w="90" w:type="dxa"/>
            </w:tcMar>
          </w:tcPr>
          <w:p>
            <w:pPr>
              <w:jc w:val="center"/>
            </w:pPr>
            <w:r>
              <w:rPr>
                <w:sz w:val="17"/>
              </w:rPr>
              <w:t>93.47 %</w:t>
            </w:r>
          </w:p>
        </w:tc>
        <w:tc>
          <w:tcPr>
            <w:tcW w:type="dxa" w:w="1656"/>
            <w:vAlign w:val="center"/>
            <w:tcMar>
              <w:top w:w="90" w:type="dxa"/>
              <w:start w:w="90" w:type="dxa"/>
              <w:bottom w:w="90" w:type="dxa"/>
              <w:end w:w="90" w:type="dxa"/>
            </w:tcMar>
          </w:tcPr>
          <w:p>
            <w:pPr>
              <w:jc w:val="center"/>
            </w:pPr>
            <w:r>
              <w:rPr>
                <w:sz w:val="17"/>
              </w:rPr>
              <w:t>92.03 %</w:t>
            </w:r>
          </w:p>
        </w:tc>
        <w:tc>
          <w:tcPr>
            <w:tcW w:type="dxa" w:w="1512"/>
            <w:vAlign w:val="center"/>
            <w:tcMar>
              <w:top w:w="90" w:type="dxa"/>
              <w:start w:w="90" w:type="dxa"/>
              <w:bottom w:w="90" w:type="dxa"/>
              <w:end w:w="90" w:type="dxa"/>
            </w:tcMar>
          </w:tcPr>
          <w:p>
            <w:pPr>
              <w:jc w:val="center"/>
            </w:pPr>
            <w:r>
              <w:rPr>
                <w:sz w:val="17"/>
              </w:rPr>
              <w:t>0.2229</w:t>
            </w:r>
          </w:p>
        </w:tc>
      </w:tr>
      <w:tr>
        <w:tc>
          <w:tcPr>
            <w:tcW w:type="dxa" w:w="2088"/>
            <w:vAlign w:val="center"/>
            <w:tcMar>
              <w:top w:w="90" w:type="dxa"/>
              <w:start w:w="90" w:type="dxa"/>
              <w:bottom w:w="90" w:type="dxa"/>
              <w:end w:w="90" w:type="dxa"/>
            </w:tcMar>
            <w:shd w:fill="EAF2F8"/>
          </w:tcPr>
          <w:p>
            <w:pPr>
              <w:jc w:val="left"/>
            </w:pPr>
            <w:r>
              <w:rPr>
                <w:sz w:val="17"/>
              </w:rPr>
              <w:t>Regularizada</w:t>
            </w:r>
          </w:p>
        </w:tc>
        <w:tc>
          <w:tcPr>
            <w:tcW w:type="dxa" w:w="1512"/>
            <w:vAlign w:val="center"/>
            <w:tcMar>
              <w:top w:w="90" w:type="dxa"/>
              <w:start w:w="90" w:type="dxa"/>
              <w:bottom w:w="90" w:type="dxa"/>
              <w:end w:w="90" w:type="dxa"/>
            </w:tcMar>
            <w:shd w:fill="EAF2F8"/>
          </w:tcPr>
          <w:p>
            <w:pPr>
              <w:jc w:val="center"/>
            </w:pPr>
            <w:r>
              <w:rPr>
                <w:sz w:val="17"/>
              </w:rPr>
              <w:t>94.346</w:t>
            </w:r>
          </w:p>
        </w:tc>
        <w:tc>
          <w:tcPr>
            <w:tcW w:type="dxa" w:w="936"/>
            <w:vAlign w:val="center"/>
            <w:tcMar>
              <w:top w:w="90" w:type="dxa"/>
              <w:start w:w="90" w:type="dxa"/>
              <w:bottom w:w="90" w:type="dxa"/>
              <w:end w:w="90" w:type="dxa"/>
            </w:tcMar>
            <w:shd w:fill="EAF2F8"/>
          </w:tcPr>
          <w:p>
            <w:pPr>
              <w:jc w:val="center"/>
            </w:pPr>
            <w:r>
              <w:rPr>
                <w:sz w:val="17"/>
              </w:rPr>
              <w:t>9</w:t>
            </w:r>
          </w:p>
        </w:tc>
        <w:tc>
          <w:tcPr>
            <w:tcW w:type="dxa" w:w="1656"/>
            <w:vAlign w:val="center"/>
            <w:tcMar>
              <w:top w:w="90" w:type="dxa"/>
              <w:start w:w="90" w:type="dxa"/>
              <w:bottom w:w="90" w:type="dxa"/>
              <w:end w:w="90" w:type="dxa"/>
            </w:tcMar>
            <w:shd w:fill="EAF2F8"/>
          </w:tcPr>
          <w:p>
            <w:pPr>
              <w:jc w:val="center"/>
            </w:pPr>
            <w:r>
              <w:rPr>
                <w:sz w:val="17"/>
              </w:rPr>
              <w:t>89.00 %</w:t>
            </w:r>
          </w:p>
        </w:tc>
        <w:tc>
          <w:tcPr>
            <w:tcW w:type="dxa" w:w="1656"/>
            <w:vAlign w:val="center"/>
            <w:tcMar>
              <w:top w:w="90" w:type="dxa"/>
              <w:start w:w="90" w:type="dxa"/>
              <w:bottom w:w="90" w:type="dxa"/>
              <w:end w:w="90" w:type="dxa"/>
            </w:tcMar>
            <w:shd w:fill="EAF2F8"/>
          </w:tcPr>
          <w:p>
            <w:pPr>
              <w:jc w:val="center"/>
            </w:pPr>
            <w:r>
              <w:rPr>
                <w:sz w:val="17"/>
              </w:rPr>
              <w:t>89.39 %</w:t>
            </w:r>
          </w:p>
        </w:tc>
        <w:tc>
          <w:tcPr>
            <w:tcW w:type="dxa" w:w="1512"/>
            <w:vAlign w:val="center"/>
            <w:tcMar>
              <w:top w:w="90" w:type="dxa"/>
              <w:start w:w="90" w:type="dxa"/>
              <w:bottom w:w="90" w:type="dxa"/>
              <w:end w:w="90" w:type="dxa"/>
            </w:tcMar>
            <w:shd w:fill="EAF2F8"/>
          </w:tcPr>
          <w:p>
            <w:pPr>
              <w:jc w:val="center"/>
            </w:pPr>
            <w:r>
              <w:rPr>
                <w:sz w:val="17"/>
              </w:rPr>
              <w:t>0.2968</w:t>
            </w:r>
          </w:p>
        </w:tc>
      </w:tr>
      <w:tr>
        <w:tc>
          <w:tcPr>
            <w:tcW w:type="dxa" w:w="2088"/>
            <w:vAlign w:val="center"/>
            <w:tcMar>
              <w:top w:w="90" w:type="dxa"/>
              <w:start w:w="90" w:type="dxa"/>
              <w:bottom w:w="90" w:type="dxa"/>
              <w:end w:w="90" w:type="dxa"/>
            </w:tcMar>
          </w:tcPr>
          <w:p>
            <w:pPr>
              <w:jc w:val="left"/>
            </w:pPr>
            <w:r>
              <w:rPr>
                <w:sz w:val="17"/>
              </w:rPr>
              <w:t>Mayor capacidad</w:t>
            </w:r>
          </w:p>
        </w:tc>
        <w:tc>
          <w:tcPr>
            <w:tcW w:type="dxa" w:w="1512"/>
            <w:vAlign w:val="center"/>
            <w:tcMar>
              <w:top w:w="90" w:type="dxa"/>
              <w:start w:w="90" w:type="dxa"/>
              <w:bottom w:w="90" w:type="dxa"/>
              <w:end w:w="90" w:type="dxa"/>
            </w:tcMar>
          </w:tcPr>
          <w:p>
            <w:pPr>
              <w:jc w:val="center"/>
            </w:pPr>
            <w:r>
              <w:rPr>
                <w:sz w:val="17"/>
              </w:rPr>
              <w:t>250.058</w:t>
            </w:r>
          </w:p>
        </w:tc>
        <w:tc>
          <w:tcPr>
            <w:tcW w:type="dxa" w:w="936"/>
            <w:vAlign w:val="center"/>
            <w:tcMar>
              <w:top w:w="90" w:type="dxa"/>
              <w:start w:w="90" w:type="dxa"/>
              <w:bottom w:w="90" w:type="dxa"/>
              <w:end w:w="90" w:type="dxa"/>
            </w:tcMar>
          </w:tcPr>
          <w:p>
            <w:pPr>
              <w:jc w:val="center"/>
            </w:pPr>
            <w:r>
              <w:rPr>
                <w:sz w:val="17"/>
              </w:rPr>
              <w:t>9</w:t>
            </w:r>
          </w:p>
        </w:tc>
        <w:tc>
          <w:tcPr>
            <w:tcW w:type="dxa" w:w="1656"/>
            <w:vAlign w:val="center"/>
            <w:tcMar>
              <w:top w:w="90" w:type="dxa"/>
              <w:start w:w="90" w:type="dxa"/>
              <w:bottom w:w="90" w:type="dxa"/>
              <w:end w:w="90" w:type="dxa"/>
            </w:tcMar>
          </w:tcPr>
          <w:p>
            <w:pPr>
              <w:jc w:val="center"/>
            </w:pPr>
            <w:r>
              <w:rPr>
                <w:sz w:val="17"/>
              </w:rPr>
              <w:t>90.13 %</w:t>
            </w:r>
          </w:p>
        </w:tc>
        <w:tc>
          <w:tcPr>
            <w:tcW w:type="dxa" w:w="1656"/>
            <w:vAlign w:val="center"/>
            <w:tcMar>
              <w:top w:w="90" w:type="dxa"/>
              <w:start w:w="90" w:type="dxa"/>
              <w:bottom w:w="90" w:type="dxa"/>
              <w:end w:w="90" w:type="dxa"/>
            </w:tcMar>
          </w:tcPr>
          <w:p>
            <w:pPr>
              <w:jc w:val="center"/>
            </w:pPr>
            <w:r>
              <w:rPr>
                <w:sz w:val="17"/>
              </w:rPr>
              <w:t>89.40 %</w:t>
            </w:r>
          </w:p>
        </w:tc>
        <w:tc>
          <w:tcPr>
            <w:tcW w:type="dxa" w:w="1512"/>
            <w:vAlign w:val="center"/>
            <w:tcMar>
              <w:top w:w="90" w:type="dxa"/>
              <w:start w:w="90" w:type="dxa"/>
              <w:bottom w:w="90" w:type="dxa"/>
              <w:end w:w="90" w:type="dxa"/>
            </w:tcMar>
          </w:tcPr>
          <w:p>
            <w:pPr>
              <w:jc w:val="center"/>
            </w:pPr>
            <w:r>
              <w:rPr>
                <w:sz w:val="17"/>
              </w:rPr>
              <w:t>0.2987</w:t>
            </w:r>
          </w:p>
        </w:tc>
      </w:tr>
    </w:tbl>
    <w:p>
      <w:pPr>
        <w:spacing w:before="120"/>
        <w:jc w:val="center"/>
      </w:pPr>
      <w:r>
        <w:drawing>
          <wp:inline xmlns:a="http://schemas.openxmlformats.org/drawingml/2006/main" xmlns:pic="http://schemas.openxmlformats.org/drawingml/2006/picture">
            <wp:extent cx="5349240" cy="3008948"/>
            <wp:docPr id="1" name="Picture 1"/>
            <wp:cNvGraphicFramePr>
              <a:graphicFrameLocks noChangeAspect="1"/>
            </wp:cNvGraphicFramePr>
            <a:graphic>
              <a:graphicData uri="http://schemas.openxmlformats.org/drawingml/2006/picture">
                <pic:pic>
                  <pic:nvPicPr>
                    <pic:cNvPr id="0" name="experiment_comparison.png"/>
                    <pic:cNvPicPr/>
                  </pic:nvPicPr>
                  <pic:blipFill>
                    <a:blip r:embed="rId10"/>
                    <a:stretch>
                      <a:fillRect/>
                    </a:stretch>
                  </pic:blipFill>
                  <pic:spPr>
                    <a:xfrm>
                      <a:off x="0" y="0"/>
                      <a:ext cx="5349240" cy="3008948"/>
                    </a:xfrm>
                    <a:prstGeom prst="rect"/>
                  </pic:spPr>
                </pic:pic>
              </a:graphicData>
            </a:graphic>
          </wp:inline>
        </w:drawing>
      </w:r>
    </w:p>
    <w:p>
      <w:pPr>
        <w:spacing w:before="40" w:after="100"/>
        <w:jc w:val="center"/>
      </w:pPr>
      <w:r>
        <w:rPr>
          <w:i/>
          <w:sz w:val="17"/>
        </w:rPr>
        <w:t>Figura 1  Accuracy de entrenamiento y validación en la mejor época</w:t>
      </w:r>
    </w:p>
    <w:p>
      <w:pPr>
        <w:pStyle w:val="Heading1"/>
      </w:pPr>
      <w:r>
        <w:t>Análisis de sesgo y varianza</w:t>
      </w:r>
    </w:p>
    <w:p>
      <w:r>
        <w:t>El modelo base alcanzó 93,47 % de accuracy de entrenamiento y 92,03 % de validación en la época 7. La brecha de 1,44 puntos indica varianza moderada, pero su pérdida de validación de 0,2229 fue la menor del estudio. En las tres épocas siguientes el entrenamiento continuó mejorando mientras la validación se estancó, evidencia de sobreajuste incipiente que justificó restaurar la época 7.</w:t>
      </w:r>
    </w:p>
    <w:p>
      <w:r>
        <w:t>La variante regularizada combinó aumentación, Batch Normalization, Global Average Pooling y Dropout. La diferencia entre entrenamiento y validación fue mínima, pero ambas métricas quedaron cerca de 89 %, lo que señala mayor sesgo. La red de mayor capacidad tampoco compensó esa regularización: obtuvo 89,40 % de validación y mostró oscilaciones entre épocas. Se seleccionó el modelo base por la menor pérdida de validación, sin consultar el conjunto de prueba.</w:t>
      </w:r>
    </w:p>
    <w:p>
      <w:pPr>
        <w:pStyle w:val="Heading1"/>
      </w:pPr>
      <w:r>
        <w:t>Evaluación final</w:t>
      </w:r>
    </w:p>
    <w:p>
      <w:r>
        <w:t>El modelo seleccionado se evaluó una sola vez sobre el conjunto de prueba. Obtuvo una pérdida de 0.2467, accuracy de 91.25 % y F1 macro de 0.9127. La cercanía entre accuracy y F1 macro es consistente con las 1.000 muestras por clase del conjunto de prueba.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083"/>
        <w:gridCol w:w="5083"/>
      </w:tblGrid>
      <w:tr>
        <w:tc>
          <w:tcPr>
            <w:tcW w:type="dxa" w:w="5083"/>
            <w:vAlign w:val="top"/>
            <w:tcMar>
              <w:top w:w="30" w:type="dxa"/>
              <w:start w:w="40" w:type="dxa"/>
              <w:bottom w:w="30" w:type="dxa"/>
              <w:end w:w="40" w:type="dxa"/>
            </w:tcMar>
          </w:tcPr>
          <w:p>
            <w:pPr>
              <w:jc w:val="center"/>
            </w:pPr>
            <w:r>
              <w:drawing>
                <wp:inline xmlns:a="http://schemas.openxmlformats.org/drawingml/2006/main" xmlns:pic="http://schemas.openxmlformats.org/drawingml/2006/picture">
                  <wp:extent cx="3063240" cy="1113905"/>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3063240" cy="1113905"/>
                          </a:xfrm>
                          <a:prstGeom prst="rect"/>
                        </pic:spPr>
                      </pic:pic>
                    </a:graphicData>
                  </a:graphic>
                </wp:inline>
              </w:drawing>
            </w:r>
          </w:p>
        </w:tc>
        <w:tc>
          <w:tcPr>
            <w:tcW w:type="dxa" w:w="5083"/>
            <w:vAlign w:val="top"/>
            <w:tcMar>
              <w:top w:w="30" w:type="dxa"/>
              <w:start w:w="40" w:type="dxa"/>
              <w:bottom w:w="30" w:type="dxa"/>
              <w:end w:w="40" w:type="dxa"/>
            </w:tcMar>
          </w:tcPr>
          <w:p>
            <w:pPr>
              <w:jc w:val="center"/>
            </w:pPr>
            <w:r>
              <w:drawing>
                <wp:inline xmlns:a="http://schemas.openxmlformats.org/drawingml/2006/main" xmlns:pic="http://schemas.openxmlformats.org/drawingml/2006/picture">
                  <wp:extent cx="2971800" cy="26416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2971800" cy="2641600"/>
                          </a:xfrm>
                          <a:prstGeom prst="rect"/>
                        </pic:spPr>
                      </pic:pic>
                    </a:graphicData>
                  </a:graphic>
                </wp:inline>
              </w:drawing>
            </w:r>
          </w:p>
        </w:tc>
      </w:tr>
    </w:tbl>
    <w:p>
      <w:pPr>
        <w:spacing w:before="40" w:after="100"/>
        <w:jc w:val="center"/>
      </w:pPr>
      <w:r>
        <w:rPr>
          <w:i/>
          <w:sz w:val="17"/>
        </w:rPr>
        <w:t>Figura 2  Curvas del modelo elegido y matriz de confusión sobre prueba</w:t>
      </w:r>
    </w:p>
    <w:p>
      <w:pPr>
        <w:pStyle w:val="Heading1"/>
      </w:pPr>
      <w:r>
        <w:t>Rendimiento por clase</w:t>
      </w:r>
    </w:p>
    <w:p>
      <w:r>
        <w:t>Trouser alcanzó F1 0,9856, Bag 0,9834 y Sandal 0,9799. La clase más difícil fue Shirt, con F1 0,7400, porque comparte siluetas y texturas con T-shirt/top, Pullover y Coat. Pullover y Coat obtuvieron F1 0,8700 y 0,8635. La matriz de confusión confirma que los errores se concentran en categorías visualmente similares y no en calzado o accesorios.</w:t>
      </w:r>
    </w:p>
    <w:p>
      <w:pPr>
        <w:pStyle w:val="Heading1"/>
      </w:pPr>
      <w:r>
        <w:t>Pronóstico temporal con RNN</w:t>
      </w:r>
    </w:p>
    <w:p>
      <w:r>
        <w:t>Jena Climate reúne mediciones meteorológicas registradas entre 2009 y 2016. Se tomó una observación por hora y se usaron presión, temperatura, humedad relativa, velocidad y dirección del viento para pronosticar la temperatura seis horas adelante desde una ventana de 72 horas. Las 70.092 observaciones se dividieron cronológicamente en 49.064 para entrenamiento, 10.514 para validación y 10.514 para prueba. La media y el desvío se calcularon solo sobre entrenamiento para evitar que información futura contaminara el ajuste.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c>
          <w:tcPr>
            <w:tcW w:type="dxa" w:w="2880"/>
            <w:vAlign w:val="center"/>
            <w:shd w:fill="1F4E78"/>
            <w:tcMar>
              <w:top w:w="90" w:type="dxa"/>
              <w:start w:w="90" w:type="dxa"/>
              <w:bottom w:w="90" w:type="dxa"/>
              <w:end w:w="90" w:type="dxa"/>
            </w:tcMar>
          </w:tcPr>
          <w:p>
            <w:pPr>
              <w:jc w:val="center"/>
            </w:pPr>
            <w:r>
              <w:rPr>
                <w:b/>
                <w:color w:val="FFFFFF"/>
                <w:sz w:val="18"/>
              </w:rPr>
              <w:t>Variable</w:t>
            </w:r>
          </w:p>
        </w:tc>
        <w:tc>
          <w:tcPr>
            <w:tcW w:type="dxa" w:w="1440"/>
            <w:vAlign w:val="center"/>
            <w:shd w:fill="1F4E78"/>
            <w:tcMar>
              <w:top w:w="90" w:type="dxa"/>
              <w:start w:w="90" w:type="dxa"/>
              <w:bottom w:w="90" w:type="dxa"/>
              <w:end w:w="90" w:type="dxa"/>
            </w:tcMar>
          </w:tcPr>
          <w:p>
            <w:pPr>
              <w:jc w:val="center"/>
            </w:pPr>
            <w:r>
              <w:rPr>
                <w:b/>
                <w:color w:val="FFFFFF"/>
                <w:sz w:val="18"/>
              </w:rPr>
              <w:t>Unidad</w:t>
            </w:r>
          </w:p>
        </w:tc>
        <w:tc>
          <w:tcPr>
            <w:tcW w:type="dxa" w:w="5688"/>
            <w:vAlign w:val="center"/>
            <w:shd w:fill="1F4E78"/>
            <w:tcMar>
              <w:top w:w="90" w:type="dxa"/>
              <w:start w:w="90" w:type="dxa"/>
              <w:bottom w:w="90" w:type="dxa"/>
              <w:end w:w="90" w:type="dxa"/>
            </w:tcMar>
          </w:tcPr>
          <w:p>
            <w:pPr>
              <w:jc w:val="center"/>
            </w:pPr>
            <w:r>
              <w:rPr>
                <w:b/>
                <w:color w:val="FFFFFF"/>
                <w:sz w:val="18"/>
              </w:rPr>
              <w:t>Aporte al pronóstico</w:t>
            </w:r>
          </w:p>
        </w:tc>
      </w:tr>
      <w:tr>
        <w:tc>
          <w:tcPr>
            <w:tcW w:type="dxa" w:w="2880"/>
            <w:vAlign w:val="center"/>
            <w:tcMar>
              <w:top w:w="90" w:type="dxa"/>
              <w:start w:w="90" w:type="dxa"/>
              <w:bottom w:w="90" w:type="dxa"/>
              <w:end w:w="90" w:type="dxa"/>
            </w:tcMar>
          </w:tcPr>
          <w:p>
            <w:pPr>
              <w:jc w:val="left"/>
            </w:pPr>
            <w:r>
              <w:rPr>
                <w:sz w:val="17"/>
              </w:rPr>
              <w:t>Presión atmosférica</w:t>
            </w:r>
          </w:p>
        </w:tc>
        <w:tc>
          <w:tcPr>
            <w:tcW w:type="dxa" w:w="1440"/>
            <w:vAlign w:val="center"/>
            <w:tcMar>
              <w:top w:w="90" w:type="dxa"/>
              <w:start w:w="90" w:type="dxa"/>
              <w:bottom w:w="90" w:type="dxa"/>
              <w:end w:w="90" w:type="dxa"/>
            </w:tcMar>
          </w:tcPr>
          <w:p>
            <w:pPr>
              <w:jc w:val="center"/>
            </w:pPr>
            <w:r>
              <w:rPr>
                <w:sz w:val="17"/>
              </w:rPr>
              <w:t>mbar</w:t>
            </w:r>
          </w:p>
        </w:tc>
        <w:tc>
          <w:tcPr>
            <w:tcW w:type="dxa" w:w="5688"/>
            <w:vAlign w:val="center"/>
            <w:tcMar>
              <w:top w:w="90" w:type="dxa"/>
              <w:start w:w="90" w:type="dxa"/>
              <w:bottom w:w="90" w:type="dxa"/>
              <w:end w:w="90" w:type="dxa"/>
            </w:tcMar>
          </w:tcPr>
          <w:p>
            <w:pPr>
              <w:jc w:val="center"/>
            </w:pPr>
            <w:r>
              <w:rPr>
                <w:sz w:val="17"/>
              </w:rPr>
              <w:t>Cambios de masas de aire</w:t>
            </w:r>
          </w:p>
        </w:tc>
      </w:tr>
      <w:tr>
        <w:tc>
          <w:tcPr>
            <w:tcW w:type="dxa" w:w="2880"/>
            <w:vAlign w:val="center"/>
            <w:tcMar>
              <w:top w:w="90" w:type="dxa"/>
              <w:start w:w="90" w:type="dxa"/>
              <w:bottom w:w="90" w:type="dxa"/>
              <w:end w:w="90" w:type="dxa"/>
            </w:tcMar>
            <w:shd w:fill="EAF2F8"/>
          </w:tcPr>
          <w:p>
            <w:pPr>
              <w:jc w:val="left"/>
            </w:pPr>
            <w:r>
              <w:rPr>
                <w:sz w:val="17"/>
              </w:rPr>
              <w:t>Temperatura</w:t>
            </w:r>
          </w:p>
        </w:tc>
        <w:tc>
          <w:tcPr>
            <w:tcW w:type="dxa" w:w="1440"/>
            <w:vAlign w:val="center"/>
            <w:tcMar>
              <w:top w:w="90" w:type="dxa"/>
              <w:start w:w="90" w:type="dxa"/>
              <w:bottom w:w="90" w:type="dxa"/>
              <w:end w:w="90" w:type="dxa"/>
            </w:tcMar>
            <w:shd w:fill="EAF2F8"/>
          </w:tcPr>
          <w:p>
            <w:pPr>
              <w:jc w:val="center"/>
            </w:pPr>
            <w:r>
              <w:rPr>
                <w:sz w:val="17"/>
              </w:rPr>
              <w:t>°C</w:t>
            </w:r>
          </w:p>
        </w:tc>
        <w:tc>
          <w:tcPr>
            <w:tcW w:type="dxa" w:w="5688"/>
            <w:vAlign w:val="center"/>
            <w:tcMar>
              <w:top w:w="90" w:type="dxa"/>
              <w:start w:w="90" w:type="dxa"/>
              <w:bottom w:w="90" w:type="dxa"/>
              <w:end w:w="90" w:type="dxa"/>
            </w:tcMar>
            <w:shd w:fill="EAF2F8"/>
          </w:tcPr>
          <w:p>
            <w:pPr>
              <w:jc w:val="center"/>
            </w:pPr>
            <w:r>
              <w:rPr>
                <w:sz w:val="17"/>
              </w:rPr>
              <w:t>Estado reciente y variable objetivo</w:t>
            </w:r>
          </w:p>
        </w:tc>
      </w:tr>
      <w:tr>
        <w:tc>
          <w:tcPr>
            <w:tcW w:type="dxa" w:w="2880"/>
            <w:vAlign w:val="center"/>
            <w:tcMar>
              <w:top w:w="90" w:type="dxa"/>
              <w:start w:w="90" w:type="dxa"/>
              <w:bottom w:w="90" w:type="dxa"/>
              <w:end w:w="90" w:type="dxa"/>
            </w:tcMar>
          </w:tcPr>
          <w:p>
            <w:pPr>
              <w:jc w:val="left"/>
            </w:pPr>
            <w:r>
              <w:rPr>
                <w:sz w:val="17"/>
              </w:rPr>
              <w:t>Humedad relativa</w:t>
            </w:r>
          </w:p>
        </w:tc>
        <w:tc>
          <w:tcPr>
            <w:tcW w:type="dxa" w:w="1440"/>
            <w:vAlign w:val="center"/>
            <w:tcMar>
              <w:top w:w="90" w:type="dxa"/>
              <w:start w:w="90" w:type="dxa"/>
              <w:bottom w:w="90" w:type="dxa"/>
              <w:end w:w="90" w:type="dxa"/>
            </w:tcMar>
          </w:tcPr>
          <w:p>
            <w:pPr>
              <w:jc w:val="center"/>
            </w:pPr>
            <w:r>
              <w:rPr>
                <w:sz w:val="17"/>
              </w:rPr>
              <w:t>%</w:t>
            </w:r>
          </w:p>
        </w:tc>
        <w:tc>
          <w:tcPr>
            <w:tcW w:type="dxa" w:w="5688"/>
            <w:vAlign w:val="center"/>
            <w:tcMar>
              <w:top w:w="90" w:type="dxa"/>
              <w:start w:w="90" w:type="dxa"/>
              <w:bottom w:w="90" w:type="dxa"/>
              <w:end w:w="90" w:type="dxa"/>
            </w:tcMar>
          </w:tcPr>
          <w:p>
            <w:pPr>
              <w:jc w:val="center"/>
            </w:pPr>
            <w:r>
              <w:rPr>
                <w:sz w:val="17"/>
              </w:rPr>
              <w:t>Relación con nubosidad y amplitud térmica</w:t>
            </w:r>
          </w:p>
        </w:tc>
      </w:tr>
      <w:tr>
        <w:tc>
          <w:tcPr>
            <w:tcW w:type="dxa" w:w="2880"/>
            <w:vAlign w:val="center"/>
            <w:tcMar>
              <w:top w:w="90" w:type="dxa"/>
              <w:start w:w="90" w:type="dxa"/>
              <w:bottom w:w="90" w:type="dxa"/>
              <w:end w:w="90" w:type="dxa"/>
            </w:tcMar>
            <w:shd w:fill="EAF2F8"/>
          </w:tcPr>
          <w:p>
            <w:pPr>
              <w:jc w:val="left"/>
            </w:pPr>
            <w:r>
              <w:rPr>
                <w:sz w:val="17"/>
              </w:rPr>
              <w:t>Velocidad del viento</w:t>
            </w:r>
          </w:p>
        </w:tc>
        <w:tc>
          <w:tcPr>
            <w:tcW w:type="dxa" w:w="1440"/>
            <w:vAlign w:val="center"/>
            <w:tcMar>
              <w:top w:w="90" w:type="dxa"/>
              <w:start w:w="90" w:type="dxa"/>
              <w:bottom w:w="90" w:type="dxa"/>
              <w:end w:w="90" w:type="dxa"/>
            </w:tcMar>
            <w:shd w:fill="EAF2F8"/>
          </w:tcPr>
          <w:p>
            <w:pPr>
              <w:jc w:val="center"/>
            </w:pPr>
            <w:r>
              <w:rPr>
                <w:sz w:val="17"/>
              </w:rPr>
              <w:t>m/s</w:t>
            </w:r>
          </w:p>
        </w:tc>
        <w:tc>
          <w:tcPr>
            <w:tcW w:type="dxa" w:w="5688"/>
            <w:vAlign w:val="center"/>
            <w:tcMar>
              <w:top w:w="90" w:type="dxa"/>
              <w:start w:w="90" w:type="dxa"/>
              <w:bottom w:w="90" w:type="dxa"/>
              <w:end w:w="90" w:type="dxa"/>
            </w:tcMar>
            <w:shd w:fill="EAF2F8"/>
          </w:tcPr>
          <w:p>
            <w:pPr>
              <w:jc w:val="center"/>
            </w:pPr>
            <w:r>
              <w:rPr>
                <w:sz w:val="17"/>
              </w:rPr>
              <w:t>Transporte y mezcla de aire</w:t>
            </w:r>
          </w:p>
        </w:tc>
      </w:tr>
      <w:tr>
        <w:tc>
          <w:tcPr>
            <w:tcW w:type="dxa" w:w="2880"/>
            <w:vAlign w:val="center"/>
            <w:tcMar>
              <w:top w:w="90" w:type="dxa"/>
              <w:start w:w="90" w:type="dxa"/>
              <w:bottom w:w="90" w:type="dxa"/>
              <w:end w:w="90" w:type="dxa"/>
            </w:tcMar>
          </w:tcPr>
          <w:p>
            <w:pPr>
              <w:jc w:val="left"/>
            </w:pPr>
            <w:r>
              <w:rPr>
                <w:sz w:val="17"/>
              </w:rPr>
              <w:t>Dirección del viento</w:t>
            </w:r>
          </w:p>
        </w:tc>
        <w:tc>
          <w:tcPr>
            <w:tcW w:type="dxa" w:w="1440"/>
            <w:vAlign w:val="center"/>
            <w:tcMar>
              <w:top w:w="90" w:type="dxa"/>
              <w:start w:w="90" w:type="dxa"/>
              <w:bottom w:w="90" w:type="dxa"/>
              <w:end w:w="90" w:type="dxa"/>
            </w:tcMar>
          </w:tcPr>
          <w:p>
            <w:pPr>
              <w:jc w:val="center"/>
            </w:pPr>
            <w:r>
              <w:rPr>
                <w:sz w:val="17"/>
              </w:rPr>
              <w:t>grados</w:t>
            </w:r>
          </w:p>
        </w:tc>
        <w:tc>
          <w:tcPr>
            <w:tcW w:type="dxa" w:w="5688"/>
            <w:vAlign w:val="center"/>
            <w:tcMar>
              <w:top w:w="90" w:type="dxa"/>
              <w:start w:w="90" w:type="dxa"/>
              <w:bottom w:w="90" w:type="dxa"/>
              <w:end w:w="90" w:type="dxa"/>
            </w:tcMar>
          </w:tcPr>
          <w:p>
            <w:pPr>
              <w:jc w:val="center"/>
            </w:pPr>
            <w:r>
              <w:rPr>
                <w:sz w:val="17"/>
              </w:rPr>
              <w:t>Procedencia de las masas de aire</w:t>
            </w:r>
          </w:p>
        </w:tc>
      </w:tr>
    </w:tbl>
    <w:p>
      <w:pPr>
        <w:pStyle w:val="Heading2"/>
      </w:pPr>
      <w:r>
        <w:t>Ventanas y prevención de fuga temporal</w:t>
      </w:r>
    </w:p>
    <w:p>
      <w:r>
        <w:t>Cada ejemplo contiene 72 observaciones horarias consecutivas y su etiqueta es la temperatura ubicada seis pasos después de la última entrada. Las ventanas se desplazan de a una hora y mantienen el orden interno de la secuencia. La partición se realizó antes de normalizar y antes de construir ventanas, de modo que ninguna secuencia atraviesa el límite entre entrenamiento, validación y prueba. Mezclar las filas aleatoriamente habría permitido aprender información del futuro y producir métricas artificialmente optimistas.</w:t>
      </w:r>
    </w:p>
    <w:p>
      <w:pPr>
        <w:pStyle w:val="Heading2"/>
      </w:pPr>
      <w:r>
        <w:t>Arquitectura y memoria temporal</w:t>
      </w:r>
    </w:p>
    <w:p>
      <w:r>
        <w:t>Se compararon celdas GRU y LSTM. Ambas incorporan compuertas que regulan qué información conservar u olvidar, creando rutas de gradiente más estables que una RNN simple durante la retropropagación a través del tiempo. GRU requiere menos parámetros que una LSTM equivalente y resultó ligeramente mejor en validación. Los modelos usaron Dropout 0,2, una capa Dense de 16 unidades, salida lineal, Adam con learning rate 0,001 y clipping de norma 1,0.</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c>
          <w:tcPr>
            <w:tcW w:type="dxa" w:w="3240"/>
            <w:vAlign w:val="center"/>
            <w:shd w:fill="1F4E78"/>
            <w:tcMar>
              <w:top w:w="90" w:type="dxa"/>
              <w:start w:w="90" w:type="dxa"/>
              <w:bottom w:w="90" w:type="dxa"/>
              <w:end w:w="90" w:type="dxa"/>
            </w:tcMar>
          </w:tcPr>
          <w:p>
            <w:pPr>
              <w:jc w:val="center"/>
            </w:pPr>
            <w:r>
              <w:rPr>
                <w:b/>
                <w:color w:val="FFFFFF"/>
                <w:sz w:val="18"/>
              </w:rPr>
              <w:t>Capa del modelo final</w:t>
            </w:r>
          </w:p>
        </w:tc>
        <w:tc>
          <w:tcPr>
            <w:tcW w:type="dxa" w:w="1440"/>
            <w:vAlign w:val="center"/>
            <w:shd w:fill="1F4E78"/>
            <w:tcMar>
              <w:top w:w="90" w:type="dxa"/>
              <w:start w:w="90" w:type="dxa"/>
              <w:bottom w:w="90" w:type="dxa"/>
              <w:end w:w="90" w:type="dxa"/>
            </w:tcMar>
          </w:tcPr>
          <w:p>
            <w:pPr>
              <w:jc w:val="center"/>
            </w:pPr>
            <w:r>
              <w:rPr>
                <w:b/>
                <w:color w:val="FFFFFF"/>
                <w:sz w:val="18"/>
              </w:rPr>
              <w:t>Salida</w:t>
            </w:r>
          </w:p>
        </w:tc>
        <w:tc>
          <w:tcPr>
            <w:tcW w:type="dxa" w:w="5328"/>
            <w:vAlign w:val="center"/>
            <w:shd w:fill="1F4E78"/>
            <w:tcMar>
              <w:top w:w="90" w:type="dxa"/>
              <w:start w:w="90" w:type="dxa"/>
              <w:bottom w:w="90" w:type="dxa"/>
              <w:end w:w="90" w:type="dxa"/>
            </w:tcMar>
          </w:tcPr>
          <w:p>
            <w:pPr>
              <w:jc w:val="center"/>
            </w:pPr>
            <w:r>
              <w:rPr>
                <w:b/>
                <w:color w:val="FFFFFF"/>
                <w:sz w:val="18"/>
              </w:rPr>
              <w:t>Función</w:t>
            </w:r>
          </w:p>
        </w:tc>
      </w:tr>
      <w:tr>
        <w:tc>
          <w:tcPr>
            <w:tcW w:type="dxa" w:w="3240"/>
            <w:vAlign w:val="center"/>
            <w:tcMar>
              <w:top w:w="90" w:type="dxa"/>
              <w:start w:w="90" w:type="dxa"/>
              <w:bottom w:w="90" w:type="dxa"/>
              <w:end w:w="90" w:type="dxa"/>
            </w:tcMar>
          </w:tcPr>
          <w:p>
            <w:pPr>
              <w:jc w:val="left"/>
            </w:pPr>
            <w:r>
              <w:rPr>
                <w:sz w:val="17"/>
              </w:rPr>
              <w:t>Entrada</w:t>
            </w:r>
          </w:p>
        </w:tc>
        <w:tc>
          <w:tcPr>
            <w:tcW w:type="dxa" w:w="1440"/>
            <w:vAlign w:val="center"/>
            <w:tcMar>
              <w:top w:w="90" w:type="dxa"/>
              <w:start w:w="90" w:type="dxa"/>
              <w:bottom w:w="90" w:type="dxa"/>
              <w:end w:w="90" w:type="dxa"/>
            </w:tcMar>
          </w:tcPr>
          <w:p>
            <w:pPr>
              <w:jc w:val="center"/>
            </w:pPr>
            <w:r>
              <w:rPr>
                <w:sz w:val="17"/>
              </w:rPr>
              <w:t>72 x 5</w:t>
            </w:r>
          </w:p>
        </w:tc>
        <w:tc>
          <w:tcPr>
            <w:tcW w:type="dxa" w:w="5328"/>
            <w:vAlign w:val="center"/>
            <w:tcMar>
              <w:top w:w="90" w:type="dxa"/>
              <w:start w:w="90" w:type="dxa"/>
              <w:bottom w:w="90" w:type="dxa"/>
              <w:end w:w="90" w:type="dxa"/>
            </w:tcMar>
          </w:tcPr>
          <w:p>
            <w:pPr>
              <w:jc w:val="center"/>
            </w:pPr>
            <w:r>
              <w:rPr>
                <w:sz w:val="17"/>
              </w:rPr>
              <w:t>Ventana multivariada normalizada</w:t>
            </w:r>
          </w:p>
        </w:tc>
      </w:tr>
      <w:tr>
        <w:tc>
          <w:tcPr>
            <w:tcW w:type="dxa" w:w="3240"/>
            <w:vAlign w:val="center"/>
            <w:tcMar>
              <w:top w:w="90" w:type="dxa"/>
              <w:start w:w="90" w:type="dxa"/>
              <w:bottom w:w="90" w:type="dxa"/>
              <w:end w:w="90" w:type="dxa"/>
            </w:tcMar>
            <w:shd w:fill="EAF2F8"/>
          </w:tcPr>
          <w:p>
            <w:pPr>
              <w:jc w:val="left"/>
            </w:pPr>
            <w:r>
              <w:rPr>
                <w:sz w:val="17"/>
              </w:rPr>
              <w:t>GRU 64</w:t>
            </w:r>
          </w:p>
        </w:tc>
        <w:tc>
          <w:tcPr>
            <w:tcW w:type="dxa" w:w="1440"/>
            <w:vAlign w:val="center"/>
            <w:tcMar>
              <w:top w:w="90" w:type="dxa"/>
              <w:start w:w="90" w:type="dxa"/>
              <w:bottom w:w="90" w:type="dxa"/>
              <w:end w:w="90" w:type="dxa"/>
            </w:tcMar>
            <w:shd w:fill="EAF2F8"/>
          </w:tcPr>
          <w:p>
            <w:pPr>
              <w:jc w:val="center"/>
            </w:pPr>
            <w:r>
              <w:rPr>
                <w:sz w:val="17"/>
              </w:rPr>
              <w:t>64</w:t>
            </w:r>
          </w:p>
        </w:tc>
        <w:tc>
          <w:tcPr>
            <w:tcW w:type="dxa" w:w="5328"/>
            <w:vAlign w:val="center"/>
            <w:tcMar>
              <w:top w:w="90" w:type="dxa"/>
              <w:start w:w="90" w:type="dxa"/>
              <w:bottom w:w="90" w:type="dxa"/>
              <w:end w:w="90" w:type="dxa"/>
            </w:tcMar>
            <w:shd w:fill="EAF2F8"/>
          </w:tcPr>
          <w:p>
            <w:pPr>
              <w:jc w:val="center"/>
            </w:pPr>
            <w:r>
              <w:rPr>
                <w:sz w:val="17"/>
              </w:rPr>
              <w:t>Memoria temporal con compuertas</w:t>
            </w:r>
          </w:p>
        </w:tc>
      </w:tr>
      <w:tr>
        <w:tc>
          <w:tcPr>
            <w:tcW w:type="dxa" w:w="3240"/>
            <w:vAlign w:val="center"/>
            <w:tcMar>
              <w:top w:w="90" w:type="dxa"/>
              <w:start w:w="90" w:type="dxa"/>
              <w:bottom w:w="90" w:type="dxa"/>
              <w:end w:w="90" w:type="dxa"/>
            </w:tcMar>
          </w:tcPr>
          <w:p>
            <w:pPr>
              <w:jc w:val="left"/>
            </w:pPr>
            <w:r>
              <w:rPr>
                <w:sz w:val="17"/>
              </w:rPr>
              <w:t>Dense 16 y ReLU</w:t>
            </w:r>
          </w:p>
        </w:tc>
        <w:tc>
          <w:tcPr>
            <w:tcW w:type="dxa" w:w="1440"/>
            <w:vAlign w:val="center"/>
            <w:tcMar>
              <w:top w:w="90" w:type="dxa"/>
              <w:start w:w="90" w:type="dxa"/>
              <w:bottom w:w="90" w:type="dxa"/>
              <w:end w:w="90" w:type="dxa"/>
            </w:tcMar>
          </w:tcPr>
          <w:p>
            <w:pPr>
              <w:jc w:val="center"/>
            </w:pPr>
            <w:r>
              <w:rPr>
                <w:sz w:val="17"/>
              </w:rPr>
              <w:t>16</w:t>
            </w:r>
          </w:p>
        </w:tc>
        <w:tc>
          <w:tcPr>
            <w:tcW w:type="dxa" w:w="5328"/>
            <w:vAlign w:val="center"/>
            <w:tcMar>
              <w:top w:w="90" w:type="dxa"/>
              <w:start w:w="90" w:type="dxa"/>
              <w:bottom w:w="90" w:type="dxa"/>
              <w:end w:w="90" w:type="dxa"/>
            </w:tcMar>
          </w:tcPr>
          <w:p>
            <w:pPr>
              <w:jc w:val="center"/>
            </w:pPr>
            <w:r>
              <w:rPr>
                <w:sz w:val="17"/>
              </w:rPr>
              <w:t>Combinación no lineal de características</w:t>
            </w:r>
          </w:p>
        </w:tc>
      </w:tr>
      <w:tr>
        <w:tc>
          <w:tcPr>
            <w:tcW w:type="dxa" w:w="3240"/>
            <w:vAlign w:val="center"/>
            <w:tcMar>
              <w:top w:w="90" w:type="dxa"/>
              <w:start w:w="90" w:type="dxa"/>
              <w:bottom w:w="90" w:type="dxa"/>
              <w:end w:w="90" w:type="dxa"/>
            </w:tcMar>
            <w:shd w:fill="EAF2F8"/>
          </w:tcPr>
          <w:p>
            <w:pPr>
              <w:jc w:val="left"/>
            </w:pPr>
            <w:r>
              <w:rPr>
                <w:sz w:val="17"/>
              </w:rPr>
              <w:t>Dense lineal</w:t>
            </w:r>
          </w:p>
        </w:tc>
        <w:tc>
          <w:tcPr>
            <w:tcW w:type="dxa" w:w="1440"/>
            <w:vAlign w:val="center"/>
            <w:tcMar>
              <w:top w:w="90" w:type="dxa"/>
              <w:start w:w="90" w:type="dxa"/>
              <w:bottom w:w="90" w:type="dxa"/>
              <w:end w:w="90" w:type="dxa"/>
            </w:tcMar>
            <w:shd w:fill="EAF2F8"/>
          </w:tcPr>
          <w:p>
            <w:pPr>
              <w:jc w:val="center"/>
            </w:pPr>
            <w:r>
              <w:rPr>
                <w:sz w:val="17"/>
              </w:rPr>
              <w:t>1</w:t>
            </w:r>
          </w:p>
        </w:tc>
        <w:tc>
          <w:tcPr>
            <w:tcW w:type="dxa" w:w="5328"/>
            <w:vAlign w:val="center"/>
            <w:tcMar>
              <w:top w:w="90" w:type="dxa"/>
              <w:start w:w="90" w:type="dxa"/>
              <w:bottom w:w="90" w:type="dxa"/>
              <w:end w:w="90" w:type="dxa"/>
            </w:tcMar>
            <w:shd w:fill="EAF2F8"/>
          </w:tcPr>
          <w:p>
            <w:pPr>
              <w:jc w:val="center"/>
            </w:pPr>
            <w:r>
              <w:rPr>
                <w:sz w:val="17"/>
              </w:rPr>
              <w:t>Temperatura futura normalizada</w:t>
            </w:r>
          </w:p>
        </w:tc>
      </w:tr>
    </w:tbl>
    <w:p>
      <w:pPr>
        <w:pStyle w:val="Heading2"/>
      </w:pPr>
      <w:r>
        <w:t>Retropropagación a través del tiempo</w:t>
      </w:r>
    </w:p>
    <w:p>
      <w:r>
        <w:t>Durante BPTT la red recurrente se despliega conceptualmente a lo largo de los 72 pasos y el error final se propaga hacia estados anteriores. En una RNN simple la multiplicación repetida por matrices recurrentes puede hacer que el gradiente tienda a cero o crezca sin control. Las compuertas de actualización y reinicio de GRU ofrecen caminos aditivos para conservar información útil y reducen la desaparición del gradiente. El clipping con norma máxima 1,0 limita explosiones ocasionales sin modificar la dirección global de la actualización.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94"/>
        <w:gridCol w:w="1694"/>
        <w:gridCol w:w="1694"/>
        <w:gridCol w:w="1694"/>
        <w:gridCol w:w="1694"/>
        <w:gridCol w:w="1694"/>
      </w:tblGrid>
      <w:tr>
        <w:tc>
          <w:tcPr>
            <w:tcW w:type="dxa" w:w="1800"/>
            <w:vAlign w:val="center"/>
            <w:shd w:fill="1F4E78"/>
            <w:tcMar>
              <w:top w:w="90" w:type="dxa"/>
              <w:start w:w="90" w:type="dxa"/>
              <w:bottom w:w="90" w:type="dxa"/>
              <w:end w:w="90" w:type="dxa"/>
            </w:tcMar>
          </w:tcPr>
          <w:p>
            <w:pPr>
              <w:jc w:val="center"/>
            </w:pPr>
            <w:r>
              <w:rPr>
                <w:b/>
                <w:color w:val="FFFFFF"/>
                <w:sz w:val="18"/>
              </w:rPr>
              <w:t>Modelo</w:t>
            </w:r>
          </w:p>
        </w:tc>
        <w:tc>
          <w:tcPr>
            <w:tcW w:type="dxa" w:w="1512"/>
            <w:vAlign w:val="center"/>
            <w:shd w:fill="1F4E78"/>
            <w:tcMar>
              <w:top w:w="90" w:type="dxa"/>
              <w:start w:w="90" w:type="dxa"/>
              <w:bottom w:w="90" w:type="dxa"/>
              <w:end w:w="90" w:type="dxa"/>
            </w:tcMar>
          </w:tcPr>
          <w:p>
            <w:pPr>
              <w:jc w:val="center"/>
            </w:pPr>
            <w:r>
              <w:rPr>
                <w:b/>
                <w:color w:val="FFFFFF"/>
                <w:sz w:val="18"/>
              </w:rPr>
              <w:t>Parámetros</w:t>
            </w:r>
          </w:p>
        </w:tc>
        <w:tc>
          <w:tcPr>
            <w:tcW w:type="dxa" w:w="936"/>
            <w:vAlign w:val="center"/>
            <w:shd w:fill="1F4E78"/>
            <w:tcMar>
              <w:top w:w="90" w:type="dxa"/>
              <w:start w:w="90" w:type="dxa"/>
              <w:bottom w:w="90" w:type="dxa"/>
              <w:end w:w="90" w:type="dxa"/>
            </w:tcMar>
          </w:tcPr>
          <w:p>
            <w:pPr>
              <w:jc w:val="center"/>
            </w:pPr>
            <w:r>
              <w:rPr>
                <w:b/>
                <w:color w:val="FFFFFF"/>
                <w:sz w:val="18"/>
              </w:rPr>
              <w:t>Época</w:t>
            </w:r>
          </w:p>
        </w:tc>
        <w:tc>
          <w:tcPr>
            <w:tcW w:type="dxa" w:w="1728"/>
            <w:vAlign w:val="center"/>
            <w:shd w:fill="1F4E78"/>
            <w:tcMar>
              <w:top w:w="90" w:type="dxa"/>
              <w:start w:w="90" w:type="dxa"/>
              <w:bottom w:w="90" w:type="dxa"/>
              <w:end w:w="90" w:type="dxa"/>
            </w:tcMar>
          </w:tcPr>
          <w:p>
            <w:pPr>
              <w:jc w:val="center"/>
            </w:pPr>
            <w:r>
              <w:rPr>
                <w:b/>
                <w:color w:val="FFFFFF"/>
                <w:sz w:val="18"/>
              </w:rPr>
              <w:t>Train MAE</w:t>
            </w:r>
          </w:p>
        </w:tc>
        <w:tc>
          <w:tcPr>
            <w:tcW w:type="dxa" w:w="1728"/>
            <w:vAlign w:val="center"/>
            <w:shd w:fill="1F4E78"/>
            <w:tcMar>
              <w:top w:w="90" w:type="dxa"/>
              <w:start w:w="90" w:type="dxa"/>
              <w:bottom w:w="90" w:type="dxa"/>
              <w:end w:w="90" w:type="dxa"/>
            </w:tcMar>
          </w:tcPr>
          <w:p>
            <w:pPr>
              <w:jc w:val="center"/>
            </w:pPr>
            <w:r>
              <w:rPr>
                <w:b/>
                <w:color w:val="FFFFFF"/>
                <w:sz w:val="18"/>
              </w:rPr>
              <w:t>Val MAE</w:t>
            </w:r>
          </w:p>
        </w:tc>
        <w:tc>
          <w:tcPr>
            <w:tcW w:type="dxa" w:w="1800"/>
            <w:vAlign w:val="center"/>
            <w:shd w:fill="1F4E78"/>
            <w:tcMar>
              <w:top w:w="90" w:type="dxa"/>
              <w:start w:w="90" w:type="dxa"/>
              <w:bottom w:w="90" w:type="dxa"/>
              <w:end w:w="90" w:type="dxa"/>
            </w:tcMar>
          </w:tcPr>
          <w:p>
            <w:pPr>
              <w:jc w:val="center"/>
            </w:pPr>
            <w:r>
              <w:rPr>
                <w:b/>
                <w:color w:val="FFFFFF"/>
                <w:sz w:val="18"/>
              </w:rPr>
              <w:t>Val RMSE</w:t>
            </w:r>
          </w:p>
        </w:tc>
      </w:tr>
      <w:tr>
        <w:tc>
          <w:tcPr>
            <w:tcW w:type="dxa" w:w="1800"/>
            <w:vAlign w:val="center"/>
            <w:tcMar>
              <w:top w:w="90" w:type="dxa"/>
              <w:start w:w="90" w:type="dxa"/>
              <w:bottom w:w="90" w:type="dxa"/>
              <w:end w:w="90" w:type="dxa"/>
            </w:tcMar>
          </w:tcPr>
          <w:p>
            <w:pPr>
              <w:jc w:val="left"/>
            </w:pPr>
            <w:r>
              <w:rPr>
                <w:sz w:val="17"/>
              </w:rPr>
              <w:t>GRU 32</w:t>
            </w:r>
          </w:p>
        </w:tc>
        <w:tc>
          <w:tcPr>
            <w:tcW w:type="dxa" w:w="1512"/>
            <w:vAlign w:val="center"/>
            <w:tcMar>
              <w:top w:w="90" w:type="dxa"/>
              <w:start w:w="90" w:type="dxa"/>
              <w:bottom w:w="90" w:type="dxa"/>
              <w:end w:w="90" w:type="dxa"/>
            </w:tcMar>
          </w:tcPr>
          <w:p>
            <w:pPr>
              <w:jc w:val="center"/>
            </w:pPr>
            <w:r>
              <w:rPr>
                <w:sz w:val="17"/>
              </w:rPr>
              <w:t>4.289</w:t>
            </w:r>
          </w:p>
        </w:tc>
        <w:tc>
          <w:tcPr>
            <w:tcW w:type="dxa" w:w="936"/>
            <w:vAlign w:val="center"/>
            <w:tcMar>
              <w:top w:w="90" w:type="dxa"/>
              <w:start w:w="90" w:type="dxa"/>
              <w:bottom w:w="90" w:type="dxa"/>
              <w:end w:w="90" w:type="dxa"/>
            </w:tcMar>
          </w:tcPr>
          <w:p>
            <w:pPr>
              <w:jc w:val="center"/>
            </w:pPr>
            <w:r>
              <w:rPr>
                <w:sz w:val="17"/>
              </w:rPr>
              <w:t>13</w:t>
            </w:r>
          </w:p>
        </w:tc>
        <w:tc>
          <w:tcPr>
            <w:tcW w:type="dxa" w:w="1728"/>
            <w:vAlign w:val="center"/>
            <w:tcMar>
              <w:top w:w="90" w:type="dxa"/>
              <w:start w:w="90" w:type="dxa"/>
              <w:bottom w:w="90" w:type="dxa"/>
              <w:end w:w="90" w:type="dxa"/>
            </w:tcMar>
          </w:tcPr>
          <w:p>
            <w:pPr>
              <w:jc w:val="center"/>
            </w:pPr>
            <w:r>
              <w:rPr>
                <w:sz w:val="17"/>
              </w:rPr>
              <w:t>0.2494</w:t>
            </w:r>
          </w:p>
        </w:tc>
        <w:tc>
          <w:tcPr>
            <w:tcW w:type="dxa" w:w="1728"/>
            <w:vAlign w:val="center"/>
            <w:tcMar>
              <w:top w:w="90" w:type="dxa"/>
              <w:start w:w="90" w:type="dxa"/>
              <w:bottom w:w="90" w:type="dxa"/>
              <w:end w:w="90" w:type="dxa"/>
            </w:tcMar>
          </w:tcPr>
          <w:p>
            <w:pPr>
              <w:jc w:val="center"/>
            </w:pPr>
            <w:r>
              <w:rPr>
                <w:sz w:val="17"/>
              </w:rPr>
              <w:t>0.2248</w:t>
            </w:r>
          </w:p>
        </w:tc>
        <w:tc>
          <w:tcPr>
            <w:tcW w:type="dxa" w:w="1800"/>
            <w:vAlign w:val="center"/>
            <w:tcMar>
              <w:top w:w="90" w:type="dxa"/>
              <w:start w:w="90" w:type="dxa"/>
              <w:bottom w:w="90" w:type="dxa"/>
              <w:end w:w="90" w:type="dxa"/>
            </w:tcMar>
          </w:tcPr>
          <w:p>
            <w:pPr>
              <w:jc w:val="center"/>
            </w:pPr>
            <w:r>
              <w:rPr>
                <w:sz w:val="17"/>
              </w:rPr>
              <w:t>0.2880</w:t>
            </w:r>
          </w:p>
        </w:tc>
      </w:tr>
      <w:tr>
        <w:tc>
          <w:tcPr>
            <w:tcW w:type="dxa" w:w="1800"/>
            <w:vAlign w:val="center"/>
            <w:tcMar>
              <w:top w:w="90" w:type="dxa"/>
              <w:start w:w="90" w:type="dxa"/>
              <w:bottom w:w="90" w:type="dxa"/>
              <w:end w:w="90" w:type="dxa"/>
            </w:tcMar>
            <w:shd w:fill="EAF2F8"/>
          </w:tcPr>
          <w:p>
            <w:pPr>
              <w:jc w:val="left"/>
            </w:pPr>
            <w:r>
              <w:rPr>
                <w:sz w:val="17"/>
              </w:rPr>
              <w:t>GRU 64</w:t>
            </w:r>
          </w:p>
        </w:tc>
        <w:tc>
          <w:tcPr>
            <w:tcW w:type="dxa" w:w="1512"/>
            <w:vAlign w:val="center"/>
            <w:tcMar>
              <w:top w:w="90" w:type="dxa"/>
              <w:start w:w="90" w:type="dxa"/>
              <w:bottom w:w="90" w:type="dxa"/>
              <w:end w:w="90" w:type="dxa"/>
            </w:tcMar>
            <w:shd w:fill="EAF2F8"/>
          </w:tcPr>
          <w:p>
            <w:pPr>
              <w:jc w:val="center"/>
            </w:pPr>
            <w:r>
              <w:rPr>
                <w:sz w:val="17"/>
              </w:rPr>
              <w:t>14.689</w:t>
            </w:r>
          </w:p>
        </w:tc>
        <w:tc>
          <w:tcPr>
            <w:tcW w:type="dxa" w:w="936"/>
            <w:vAlign w:val="center"/>
            <w:tcMar>
              <w:top w:w="90" w:type="dxa"/>
              <w:start w:w="90" w:type="dxa"/>
              <w:bottom w:w="90" w:type="dxa"/>
              <w:end w:w="90" w:type="dxa"/>
            </w:tcMar>
            <w:shd w:fill="EAF2F8"/>
          </w:tcPr>
          <w:p>
            <w:pPr>
              <w:jc w:val="center"/>
            </w:pPr>
            <w:r>
              <w:rPr>
                <w:sz w:val="17"/>
              </w:rPr>
              <w:t>15</w:t>
            </w:r>
          </w:p>
        </w:tc>
        <w:tc>
          <w:tcPr>
            <w:tcW w:type="dxa" w:w="1728"/>
            <w:vAlign w:val="center"/>
            <w:tcMar>
              <w:top w:w="90" w:type="dxa"/>
              <w:start w:w="90" w:type="dxa"/>
              <w:bottom w:w="90" w:type="dxa"/>
              <w:end w:w="90" w:type="dxa"/>
            </w:tcMar>
            <w:shd w:fill="EAF2F8"/>
          </w:tcPr>
          <w:p>
            <w:pPr>
              <w:jc w:val="center"/>
            </w:pPr>
            <w:r>
              <w:rPr>
                <w:sz w:val="17"/>
              </w:rPr>
              <w:t>0.2346</w:t>
            </w:r>
          </w:p>
        </w:tc>
        <w:tc>
          <w:tcPr>
            <w:tcW w:type="dxa" w:w="1728"/>
            <w:vAlign w:val="center"/>
            <w:tcMar>
              <w:top w:w="90" w:type="dxa"/>
              <w:start w:w="90" w:type="dxa"/>
              <w:bottom w:w="90" w:type="dxa"/>
              <w:end w:w="90" w:type="dxa"/>
            </w:tcMar>
            <w:shd w:fill="EAF2F8"/>
          </w:tcPr>
          <w:p>
            <w:pPr>
              <w:jc w:val="center"/>
            </w:pPr>
            <w:r>
              <w:rPr>
                <w:sz w:val="17"/>
              </w:rPr>
              <w:t>0.2232</w:t>
            </w:r>
          </w:p>
        </w:tc>
        <w:tc>
          <w:tcPr>
            <w:tcW w:type="dxa" w:w="1800"/>
            <w:vAlign w:val="center"/>
            <w:tcMar>
              <w:top w:w="90" w:type="dxa"/>
              <w:start w:w="90" w:type="dxa"/>
              <w:bottom w:w="90" w:type="dxa"/>
              <w:end w:w="90" w:type="dxa"/>
            </w:tcMar>
            <w:shd w:fill="EAF2F8"/>
          </w:tcPr>
          <w:p>
            <w:pPr>
              <w:jc w:val="center"/>
            </w:pPr>
            <w:r>
              <w:rPr>
                <w:sz w:val="17"/>
              </w:rPr>
              <w:t>0.2841</w:t>
            </w:r>
          </w:p>
        </w:tc>
      </w:tr>
      <w:tr>
        <w:tc>
          <w:tcPr>
            <w:tcW w:type="dxa" w:w="1800"/>
            <w:vAlign w:val="center"/>
            <w:tcMar>
              <w:top w:w="90" w:type="dxa"/>
              <w:start w:w="90" w:type="dxa"/>
              <w:bottom w:w="90" w:type="dxa"/>
              <w:end w:w="90" w:type="dxa"/>
            </w:tcMar>
          </w:tcPr>
          <w:p>
            <w:pPr>
              <w:jc w:val="left"/>
            </w:pPr>
            <w:r>
              <w:rPr>
                <w:sz w:val="17"/>
              </w:rPr>
              <w:t>LSTM 32</w:t>
            </w:r>
          </w:p>
        </w:tc>
        <w:tc>
          <w:tcPr>
            <w:tcW w:type="dxa" w:w="1512"/>
            <w:vAlign w:val="center"/>
            <w:tcMar>
              <w:top w:w="90" w:type="dxa"/>
              <w:start w:w="90" w:type="dxa"/>
              <w:bottom w:w="90" w:type="dxa"/>
              <w:end w:w="90" w:type="dxa"/>
            </w:tcMar>
          </w:tcPr>
          <w:p>
            <w:pPr>
              <w:jc w:val="center"/>
            </w:pPr>
            <w:r>
              <w:rPr>
                <w:sz w:val="17"/>
              </w:rPr>
              <w:t>5.409</w:t>
            </w:r>
          </w:p>
        </w:tc>
        <w:tc>
          <w:tcPr>
            <w:tcW w:type="dxa" w:w="936"/>
            <w:vAlign w:val="center"/>
            <w:tcMar>
              <w:top w:w="90" w:type="dxa"/>
              <w:start w:w="90" w:type="dxa"/>
              <w:bottom w:w="90" w:type="dxa"/>
              <w:end w:w="90" w:type="dxa"/>
            </w:tcMar>
          </w:tcPr>
          <w:p>
            <w:pPr>
              <w:jc w:val="center"/>
            </w:pPr>
            <w:r>
              <w:rPr>
                <w:sz w:val="17"/>
              </w:rPr>
              <w:t>14</w:t>
            </w:r>
          </w:p>
        </w:tc>
        <w:tc>
          <w:tcPr>
            <w:tcW w:type="dxa" w:w="1728"/>
            <w:vAlign w:val="center"/>
            <w:tcMar>
              <w:top w:w="90" w:type="dxa"/>
              <w:start w:w="90" w:type="dxa"/>
              <w:bottom w:w="90" w:type="dxa"/>
              <w:end w:w="90" w:type="dxa"/>
            </w:tcMar>
          </w:tcPr>
          <w:p>
            <w:pPr>
              <w:jc w:val="center"/>
            </w:pPr>
            <w:r>
              <w:rPr>
                <w:sz w:val="17"/>
              </w:rPr>
              <w:t>0.2462</w:t>
            </w:r>
          </w:p>
        </w:tc>
        <w:tc>
          <w:tcPr>
            <w:tcW w:type="dxa" w:w="1728"/>
            <w:vAlign w:val="center"/>
            <w:tcMar>
              <w:top w:w="90" w:type="dxa"/>
              <w:start w:w="90" w:type="dxa"/>
              <w:bottom w:w="90" w:type="dxa"/>
              <w:end w:w="90" w:type="dxa"/>
            </w:tcMar>
          </w:tcPr>
          <w:p>
            <w:pPr>
              <w:jc w:val="center"/>
            </w:pPr>
            <w:r>
              <w:rPr>
                <w:sz w:val="17"/>
              </w:rPr>
              <w:t>0.2282</w:t>
            </w:r>
          </w:p>
        </w:tc>
        <w:tc>
          <w:tcPr>
            <w:tcW w:type="dxa" w:w="1800"/>
            <w:vAlign w:val="center"/>
            <w:tcMar>
              <w:top w:w="90" w:type="dxa"/>
              <w:start w:w="90" w:type="dxa"/>
              <w:bottom w:w="90" w:type="dxa"/>
              <w:end w:w="90" w:type="dxa"/>
            </w:tcMar>
          </w:tcPr>
          <w:p>
            <w:pPr>
              <w:jc w:val="center"/>
            </w:pPr>
            <w:r>
              <w:rPr>
                <w:sz w:val="17"/>
              </w:rPr>
              <w:t>0.2894</w:t>
            </w:r>
          </w:p>
        </w:tc>
      </w:tr>
    </w:tbl>
    <w:p>
      <w:pPr>
        <w:pStyle w:val="Heading2"/>
      </w:pPr>
      <w:r>
        <w:t>Evaluación y estabilidad predictiva</w:t>
      </w:r>
    </w:p>
    <w:p>
      <w:pPr>
        <w:keepLines/>
      </w:pPr>
      <w:r>
        <w:t>GRU 64 fue seleccionada exclusivamente por la menor MAE de validación (0.2232). En prueba obtuvo MAE 1.918 °C y RMSE 2.370 °C; el baseline persistente alcanzó 3.028 °C y 4.025 °C. La reducción fue de 36.7 % en MAE y 41.1 % en RMSE. Las curvas descendieron sin divergencia sostenida entre entrenamiento y validación. Las predicciones conservaron los ciclos y cambios de tendencia, aunque suavizaron algunos máximos y mínimos, principal limitación observada.</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083"/>
        <w:gridCol w:w="5083"/>
      </w:tblGrid>
      <w:tr>
        <w:tc>
          <w:tcPr>
            <w:tcW w:type="dxa" w:w="5083"/>
            <w:vAlign w:val="top"/>
            <w:tcMar>
              <w:top w:w="30" w:type="dxa"/>
              <w:start w:w="40" w:type="dxa"/>
              <w:bottom w:w="30" w:type="dxa"/>
              <w:end w:w="40" w:type="dxa"/>
            </w:tcMar>
          </w:tcPr>
          <w:p>
            <w:pPr>
              <w:jc w:val="center"/>
            </w:pPr>
            <w:r>
              <w:drawing>
                <wp:inline xmlns:a="http://schemas.openxmlformats.org/drawingml/2006/main" xmlns:pic="http://schemas.openxmlformats.org/drawingml/2006/picture">
                  <wp:extent cx="3063240" cy="1225296"/>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3"/>
                          <a:stretch>
                            <a:fillRect/>
                          </a:stretch>
                        </pic:blipFill>
                        <pic:spPr>
                          <a:xfrm>
                            <a:off x="0" y="0"/>
                            <a:ext cx="3063240" cy="1225296"/>
                          </a:xfrm>
                          <a:prstGeom prst="rect"/>
                        </pic:spPr>
                      </pic:pic>
                    </a:graphicData>
                  </a:graphic>
                </wp:inline>
              </w:drawing>
            </w:r>
          </w:p>
        </w:tc>
        <w:tc>
          <w:tcPr>
            <w:tcW w:type="dxa" w:w="5083"/>
            <w:vAlign w:val="top"/>
            <w:tcMar>
              <w:top w:w="30" w:type="dxa"/>
              <w:start w:w="40" w:type="dxa"/>
              <w:bottom w:w="30" w:type="dxa"/>
              <w:end w:w="40" w:type="dxa"/>
            </w:tcMar>
          </w:tcPr>
          <w:p>
            <w:pPr>
              <w:jc w:val="center"/>
            </w:pPr>
            <w:r>
              <w:drawing>
                <wp:inline xmlns:a="http://schemas.openxmlformats.org/drawingml/2006/main" xmlns:pic="http://schemas.openxmlformats.org/drawingml/2006/picture">
                  <wp:extent cx="3063240" cy="1225296"/>
                  <wp:docPr id="5" name="Picture 5"/>
                  <wp:cNvGraphicFramePr>
                    <a:graphicFrameLocks noChangeAspect="1"/>
                  </wp:cNvGraphicFramePr>
                  <a:graphic>
                    <a:graphicData uri="http://schemas.openxmlformats.org/drawingml/2006/picture">
                      <pic:pic>
                        <pic:nvPicPr>
                          <pic:cNvPr id="0" name="test_predictions.png"/>
                          <pic:cNvPicPr/>
                        </pic:nvPicPr>
                        <pic:blipFill>
                          <a:blip r:embed="rId14"/>
                          <a:stretch>
                            <a:fillRect/>
                          </a:stretch>
                        </pic:blipFill>
                        <pic:spPr>
                          <a:xfrm>
                            <a:off x="0" y="0"/>
                            <a:ext cx="3063240" cy="1225296"/>
                          </a:xfrm>
                          <a:prstGeom prst="rect"/>
                        </pic:spPr>
                      </pic:pic>
                    </a:graphicData>
                  </a:graphic>
                </wp:inline>
              </w:drawing>
            </w:r>
          </w:p>
        </w:tc>
      </w:tr>
    </w:tbl>
    <w:p>
      <w:pPr>
        <w:spacing w:before="40" w:after="100"/>
        <w:jc w:val="center"/>
      </w:pPr>
      <w:r>
        <w:rPr>
          <w:i/>
          <w:sz w:val="17"/>
        </w:rPr>
        <w:t>Figura 3  Curvas de aprendizaje y pronósticos de la GRU seleccionada</w:t>
      </w:r>
    </w:p>
    <w:p>
      <w:pPr>
        <w:pStyle w:val="Heading2"/>
      </w:pPr>
      <w:r>
        <w:t>Análisis de errores y limitaciones</w:t>
      </w:r>
    </w:p>
    <w:p>
      <w:r>
        <w:t>La mejora frente a persistencia demuestra que el modelo aprovecha relaciones entre las cinco variables y no se limita a repetir la última temperatura. Sin embargo, las predicciones son más suaves que la serie real: los cambios rápidos y los extremos térmicos concentran los errores mayores. MSE favorece este comportamiento porque una estimación cercana al promedio reduce el costo de errores grandes, aunque puede atenuar picos. Como extensión se podrían comparar MAE o Huber como pérdidas, incorporar estacionalidad explícita y evaluar varios horizontes de pronóstico.</w:t>
      </w:r>
    </w:p>
    <w:p>
      <w:r>
        <w:t>La comparación también muestra que una red más grande no garantiza una mejora proporcional. GRU 64 redujo la MAE de validación solo 0,0016 respecto de GRU 32, pero utilizó más del triple de parámetros. Por lo tanto, GRU 32 sigue siendo una alternativa razonable cuando importan memoria, velocidad de entrenamiento o tamaño del modelo.</w:t>
      </w:r>
    </w:p>
    <w:p>
      <w:pPr>
        <w:pStyle w:val="Heading1"/>
      </w:pPr>
      <w:r>
        <w:t>Reproducibilidad</w:t>
      </w:r>
    </w:p>
    <w:p>
      <w:r>
        <w:t>Todos los experimentos usan semilla 42 y registran arquitectura, parámetros, historial por época, tiempos y métricas. EarlyStopping restaura los mejores pesos, ReduceLROnPlateau disminuye el learning rate cuando la validación se estanca y ModelCheckpoint conserva cada candidato. Los archivos JSON y CSV permiten regenerar tablas y figuras sin volver a entrenar. El modelo elegido se exportó en formato Keras junto con los scripts y las dependencias declaradas.</w:t>
      </w:r>
    </w:p>
    <w:p>
      <w:pPr>
        <w:pStyle w:val="Heading1"/>
      </w:pPr>
      <w:r>
        <w:t>Conclusiones</w:t>
      </w:r>
    </w:p>
    <w:p>
      <w:pPr>
        <w:pStyle w:val="ListBullet"/>
        <w:spacing w:after="40"/>
      </w:pPr>
      <w:r>
        <w:t>La CNN preservó la localidad espacial mediante convoluciones 2D de 3 x 3 y redujo las representaciones con MaxPooling.</w:t>
      </w:r>
    </w:p>
    <w:p>
      <w:pPr>
        <w:pStyle w:val="ListBullet"/>
        <w:spacing w:after="40"/>
      </w:pPr>
      <w:r>
        <w:t>La separación por lotes evitó compartir grupos entre entrenamiento y validación, y el test permaneció aislado hasta la selección final.</w:t>
      </w:r>
    </w:p>
    <w:p>
      <w:pPr>
        <w:pStyle w:val="ListBullet"/>
        <w:spacing w:after="40"/>
      </w:pPr>
      <w:r>
        <w:t>La arquitectura base ofreció el mejor equilibrio empírico: 91,25 % de accuracy de prueba con sobreajuste controlado mediante checkpoint y parada temprana.</w:t>
      </w:r>
    </w:p>
    <w:p>
      <w:pPr>
        <w:pStyle w:val="ListBullet"/>
        <w:spacing w:after="40"/>
      </w:pPr>
      <w:r>
        <w:t>La GRU 64 capturó memoria temporal y redujo 36,7 % el MAE frente al baseline; el margen de mejora está en representar mejor los extremos térmicos.</w:t>
      </w:r>
    </w:p>
    <w:p>
      <w:pPr>
        <w:pStyle w:val="Heading1"/>
      </w:pPr>
      <w:r>
        <w:t>Archivos entregados</w:t>
      </w:r>
    </w:p>
    <w:p>
      <w:r>
        <w:t>El código reproducible se encuentra en cnn_pipeline.py, cnn_experiments.py, rnn_data.py, rnn_pipeline.py y rnn_experiments.py. Los modelos se exportaron como cnn_fashion_mnist.keras y rnn_forecaster.keras. Las métricas, historias y figuras permanecen en results/cnn y results/rnn.</w:t>
      </w:r>
    </w:p>
    <w:sectPr w:rsidR="00FC693F" w:rsidRPr="0006063C" w:rsidSect="00034616">
      <w:footerReference w:type="default" r:id="rId9"/>
      <w:pgSz w:w="12240" w:h="15840"/>
      <w:pgMar w:top="893"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Página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