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Clasificación de Fashion MNIST con una red neuronal convolucional</w:t>
      </w:r>
    </w:p>
    <w:p>
      <w:pPr>
        <w:spacing w:after="160"/>
      </w:pPr>
      <w:r>
        <w:rPr>
          <w:color w:val="464646"/>
          <w:sz w:val="19"/>
        </w:rPr>
        <w:t>Inteligencia Artificial | Trabajo práctico integrador | 30 de septiembre de 2026</w:t>
      </w:r>
    </w:p>
    <w:p>
      <w:pPr>
        <w:pStyle w:val="Heading1"/>
      </w:pPr>
      <w:r>
        <w:t>Objetivo y resultado principal</w:t>
      </w:r>
    </w:p>
    <w:p>
      <w:r>
        <w:t>Se diseñó y evaluó una CNN en Keras para clasificar las diez categorías de Fashion-MNIST. Se compararon tres arquitecturas bajo la misma partición por lotes. El modelo base obtuvo la menor pérdida de validación y alcanzó 91,25 % de accuracy y 0,9127 de F1 macro sobre 10.000 imágenes de prueba.</w:t>
      </w:r>
    </w:p>
    <w:p>
      <w:pPr>
        <w:pStyle w:val="Heading1"/>
      </w:pPr>
      <w:r>
        <w:t>Datos y partición</w:t>
      </w:r>
    </w:p>
    <w:p>
      <w:r>
        <w:t>Fashion-MNIST contiene 70.000 imágenes en escala de grises de 28 por 28 píxeles. Se conservaron las 10.000 imágenes oficiales de prueba y las 60.000 restantes se organizaron en 600 lotes contiguos de 100 muestras. StratifiedGroupKFold, con cinco particiones y semilla 42, asignó 480 lotes al entrenamiento y 120 a validación, sin compartir lotes entre ambos conjuntos.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3024"/>
            <w:vAlign w:val="center"/>
            <w:shd w:fill="1F4E78"/>
            <w:tcMar>
              <w:top w:w="90" w:type="dxa"/>
              <w:start w:w="90" w:type="dxa"/>
              <w:bottom w:w="90" w:type="dxa"/>
              <w:end w:w="90" w:type="dxa"/>
            </w:tcMar>
          </w:tcPr>
          <w:p>
            <w:pPr>
              <w:jc w:val="center"/>
            </w:pPr>
            <w:r>
              <w:rPr>
                <w:b/>
                <w:color w:val="FFFFFF"/>
                <w:sz w:val="18"/>
              </w:rPr>
              <w:t>Conjunto</w:t>
            </w:r>
          </w:p>
        </w:tc>
        <w:tc>
          <w:tcPr>
            <w:tcW w:type="dxa" w:w="1872"/>
            <w:vAlign w:val="center"/>
            <w:shd w:fill="1F4E78"/>
            <w:tcMar>
              <w:top w:w="90" w:type="dxa"/>
              <w:start w:w="90" w:type="dxa"/>
              <w:bottom w:w="90" w:type="dxa"/>
              <w:end w:w="90" w:type="dxa"/>
            </w:tcMar>
          </w:tcPr>
          <w:p>
            <w:pPr>
              <w:jc w:val="center"/>
            </w:pPr>
            <w:r>
              <w:rPr>
                <w:b/>
                <w:color w:val="FFFFFF"/>
                <w:sz w:val="18"/>
              </w:rPr>
              <w:t>Muestras</w:t>
            </w:r>
          </w:p>
        </w:tc>
        <w:tc>
          <w:tcPr>
            <w:tcW w:type="dxa" w:w="5112"/>
            <w:vAlign w:val="center"/>
            <w:shd w:fill="1F4E78"/>
            <w:tcMar>
              <w:top w:w="90" w:type="dxa"/>
              <w:start w:w="90" w:type="dxa"/>
              <w:bottom w:w="90" w:type="dxa"/>
              <w:end w:w="90" w:type="dxa"/>
            </w:tcMar>
          </w:tcPr>
          <w:p>
            <w:pPr>
              <w:jc w:val="center"/>
            </w:pPr>
            <w:r>
              <w:rPr>
                <w:b/>
                <w:color w:val="FFFFFF"/>
                <w:sz w:val="18"/>
              </w:rPr>
              <w:t>Uso</w:t>
            </w:r>
          </w:p>
        </w:tc>
      </w:tr>
      <w:tr>
        <w:tc>
          <w:tcPr>
            <w:tcW w:type="dxa" w:w="3024"/>
            <w:vAlign w:val="center"/>
            <w:tcMar>
              <w:top w:w="90" w:type="dxa"/>
              <w:start w:w="90" w:type="dxa"/>
              <w:bottom w:w="90" w:type="dxa"/>
              <w:end w:w="90" w:type="dxa"/>
            </w:tcMar>
          </w:tcPr>
          <w:p>
            <w:pPr>
              <w:jc w:val="left"/>
            </w:pPr>
            <w:r>
              <w:rPr>
                <w:sz w:val="17"/>
              </w:rPr>
              <w:t>Entrenamiento</w:t>
            </w:r>
          </w:p>
        </w:tc>
        <w:tc>
          <w:tcPr>
            <w:tcW w:type="dxa" w:w="1872"/>
            <w:vAlign w:val="center"/>
            <w:tcMar>
              <w:top w:w="90" w:type="dxa"/>
              <w:start w:w="90" w:type="dxa"/>
              <w:bottom w:w="90" w:type="dxa"/>
              <w:end w:w="90" w:type="dxa"/>
            </w:tcMar>
          </w:tcPr>
          <w:p>
            <w:pPr>
              <w:jc w:val="center"/>
            </w:pPr>
            <w:r>
              <w:rPr>
                <w:sz w:val="17"/>
              </w:rPr>
              <w:t>48.000</w:t>
            </w:r>
          </w:p>
        </w:tc>
        <w:tc>
          <w:tcPr>
            <w:tcW w:type="dxa" w:w="5112"/>
            <w:vAlign w:val="center"/>
            <w:tcMar>
              <w:top w:w="90" w:type="dxa"/>
              <w:start w:w="90" w:type="dxa"/>
              <w:bottom w:w="90" w:type="dxa"/>
              <w:end w:w="90" w:type="dxa"/>
            </w:tcMar>
          </w:tcPr>
          <w:p>
            <w:pPr>
              <w:jc w:val="center"/>
            </w:pPr>
            <w:r>
              <w:rPr>
                <w:sz w:val="17"/>
              </w:rPr>
              <w:t>Ajuste de pesos</w:t>
            </w:r>
          </w:p>
        </w:tc>
      </w:tr>
      <w:tr>
        <w:tc>
          <w:tcPr>
            <w:tcW w:type="dxa" w:w="3024"/>
            <w:vAlign w:val="center"/>
            <w:tcMar>
              <w:top w:w="90" w:type="dxa"/>
              <w:start w:w="90" w:type="dxa"/>
              <w:bottom w:w="90" w:type="dxa"/>
              <w:end w:w="90" w:type="dxa"/>
            </w:tcMar>
            <w:shd w:fill="EAF2F8"/>
          </w:tcPr>
          <w:p>
            <w:pPr>
              <w:jc w:val="left"/>
            </w:pPr>
            <w:r>
              <w:rPr>
                <w:sz w:val="17"/>
              </w:rPr>
              <w:t>Validación</w:t>
            </w:r>
          </w:p>
        </w:tc>
        <w:tc>
          <w:tcPr>
            <w:tcW w:type="dxa" w:w="1872"/>
            <w:vAlign w:val="center"/>
            <w:tcMar>
              <w:top w:w="90" w:type="dxa"/>
              <w:start w:w="90" w:type="dxa"/>
              <w:bottom w:w="90" w:type="dxa"/>
              <w:end w:w="90" w:type="dxa"/>
            </w:tcMar>
            <w:shd w:fill="EAF2F8"/>
          </w:tcPr>
          <w:p>
            <w:pPr>
              <w:jc w:val="center"/>
            </w:pPr>
            <w:r>
              <w:rPr>
                <w:sz w:val="17"/>
              </w:rPr>
              <w:t>12.000</w:t>
            </w:r>
          </w:p>
        </w:tc>
        <w:tc>
          <w:tcPr>
            <w:tcW w:type="dxa" w:w="5112"/>
            <w:vAlign w:val="center"/>
            <w:tcMar>
              <w:top w:w="90" w:type="dxa"/>
              <w:start w:w="90" w:type="dxa"/>
              <w:bottom w:w="90" w:type="dxa"/>
              <w:end w:w="90" w:type="dxa"/>
            </w:tcMar>
            <w:shd w:fill="EAF2F8"/>
          </w:tcPr>
          <w:p>
            <w:pPr>
              <w:jc w:val="center"/>
            </w:pPr>
            <w:r>
              <w:rPr>
                <w:sz w:val="17"/>
              </w:rPr>
              <w:t>Selección del modelo</w:t>
            </w:r>
          </w:p>
        </w:tc>
      </w:tr>
      <w:tr>
        <w:tc>
          <w:tcPr>
            <w:tcW w:type="dxa" w:w="3024"/>
            <w:vAlign w:val="center"/>
            <w:tcMar>
              <w:top w:w="90" w:type="dxa"/>
              <w:start w:w="90" w:type="dxa"/>
              <w:bottom w:w="90" w:type="dxa"/>
              <w:end w:w="90" w:type="dxa"/>
            </w:tcMar>
          </w:tcPr>
          <w:p>
            <w:pPr>
              <w:jc w:val="left"/>
            </w:pPr>
            <w:r>
              <w:rPr>
                <w:sz w:val="17"/>
              </w:rPr>
              <w:t>Prueba</w:t>
            </w:r>
          </w:p>
        </w:tc>
        <w:tc>
          <w:tcPr>
            <w:tcW w:type="dxa" w:w="1872"/>
            <w:vAlign w:val="center"/>
            <w:tcMar>
              <w:top w:w="90" w:type="dxa"/>
              <w:start w:w="90" w:type="dxa"/>
              <w:bottom w:w="90" w:type="dxa"/>
              <w:end w:w="90" w:type="dxa"/>
            </w:tcMar>
          </w:tcPr>
          <w:p>
            <w:pPr>
              <w:jc w:val="center"/>
            </w:pPr>
            <w:r>
              <w:rPr>
                <w:sz w:val="17"/>
              </w:rPr>
              <w:t>10.000</w:t>
            </w:r>
          </w:p>
        </w:tc>
        <w:tc>
          <w:tcPr>
            <w:tcW w:type="dxa" w:w="5112"/>
            <w:vAlign w:val="center"/>
            <w:tcMar>
              <w:top w:w="90" w:type="dxa"/>
              <w:start w:w="90" w:type="dxa"/>
              <w:bottom w:w="90" w:type="dxa"/>
              <w:end w:w="90" w:type="dxa"/>
            </w:tcMar>
          </w:tcPr>
          <w:p>
            <w:pPr>
              <w:jc w:val="center"/>
            </w:pPr>
            <w:r>
              <w:rPr>
                <w:sz w:val="17"/>
              </w:rPr>
              <w:t>Evaluación final</w:t>
            </w:r>
          </w:p>
        </w:tc>
      </w:tr>
    </w:tbl>
    <w:p>
      <w:r>
        <w:t>Los valores de píxel se transformaron de [0, 255] a [0, 1] y se agregó el canal de profundidad, por lo que cada entrada tiene forma 28 x 28 x 1. Fashion-MNIST no publica identificadores de sujeto o procedencia; por eso los grupos representan lotes de origen y controlan el solapamiento de muestras, pero no permiten medir generalización entre personas.</w:t>
      </w:r>
    </w:p>
    <w:p>
      <w:pPr>
        <w:pStyle w:val="Heading1"/>
      </w:pPr>
      <w:r>
        <w:t>Fundamento matemático y arquitectura</w:t>
      </w:r>
    </w:p>
    <w:p>
      <w:r>
        <w:t>Cada capa Conv2D aplica filtros aprendibles de 3 x 3. En cada posición calcula la suma de productos entre el vecindario de entrada y los pesos del filtro, agrega un sesgo y aplica ReLU. El padding same conserva las dimensiones espaciales y el stride 1 examina todas las posiciones. MaxPooling de 2 x 2 reduce ancho y alto a la mitad y aporta tolerancia a desplazamientos pequeños.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3528"/>
            <w:vAlign w:val="center"/>
            <w:shd w:fill="1F4E78"/>
            <w:tcMar>
              <w:top w:w="90" w:type="dxa"/>
              <w:start w:w="90" w:type="dxa"/>
              <w:bottom w:w="90" w:type="dxa"/>
              <w:end w:w="90" w:type="dxa"/>
            </w:tcMar>
          </w:tcPr>
          <w:p>
            <w:pPr>
              <w:jc w:val="center"/>
            </w:pPr>
            <w:r>
              <w:rPr>
                <w:b/>
                <w:color w:val="FFFFFF"/>
                <w:sz w:val="18"/>
              </w:rPr>
              <w:t>Etapa del modelo elegido</w:t>
            </w:r>
          </w:p>
        </w:tc>
        <w:tc>
          <w:tcPr>
            <w:tcW w:type="dxa" w:w="2088"/>
            <w:vAlign w:val="center"/>
            <w:shd w:fill="1F4E78"/>
            <w:tcMar>
              <w:top w:w="90" w:type="dxa"/>
              <w:start w:w="90" w:type="dxa"/>
              <w:bottom w:w="90" w:type="dxa"/>
              <w:end w:w="90" w:type="dxa"/>
            </w:tcMar>
          </w:tcPr>
          <w:p>
            <w:pPr>
              <w:jc w:val="center"/>
            </w:pPr>
            <w:r>
              <w:rPr>
                <w:b/>
                <w:color w:val="FFFFFF"/>
                <w:sz w:val="18"/>
              </w:rPr>
              <w:t>Salida</w:t>
            </w:r>
          </w:p>
        </w:tc>
        <w:tc>
          <w:tcPr>
            <w:tcW w:type="dxa" w:w="4392"/>
            <w:vAlign w:val="center"/>
            <w:shd w:fill="1F4E78"/>
            <w:tcMar>
              <w:top w:w="90" w:type="dxa"/>
              <w:start w:w="90" w:type="dxa"/>
              <w:bottom w:w="90" w:type="dxa"/>
              <w:end w:w="90" w:type="dxa"/>
            </w:tcMar>
          </w:tcPr>
          <w:p>
            <w:pPr>
              <w:jc w:val="center"/>
            </w:pPr>
            <w:r>
              <w:rPr>
                <w:b/>
                <w:color w:val="FFFFFF"/>
                <w:sz w:val="18"/>
              </w:rPr>
              <w:t>Propósito</w:t>
            </w:r>
          </w:p>
        </w:tc>
      </w:tr>
      <w:tr>
        <w:tc>
          <w:tcPr>
            <w:tcW w:type="dxa" w:w="3528"/>
            <w:vAlign w:val="center"/>
            <w:tcMar>
              <w:top w:w="90" w:type="dxa"/>
              <w:start w:w="90" w:type="dxa"/>
              <w:bottom w:w="90" w:type="dxa"/>
              <w:end w:w="90" w:type="dxa"/>
            </w:tcMar>
          </w:tcPr>
          <w:p>
            <w:pPr>
              <w:jc w:val="left"/>
            </w:pPr>
            <w:r>
              <w:rPr>
                <w:sz w:val="17"/>
              </w:rPr>
              <w:t>Entrada</w:t>
            </w:r>
          </w:p>
        </w:tc>
        <w:tc>
          <w:tcPr>
            <w:tcW w:type="dxa" w:w="2088"/>
            <w:vAlign w:val="center"/>
            <w:tcMar>
              <w:top w:w="90" w:type="dxa"/>
              <w:start w:w="90" w:type="dxa"/>
              <w:bottom w:w="90" w:type="dxa"/>
              <w:end w:w="90" w:type="dxa"/>
            </w:tcMar>
          </w:tcPr>
          <w:p>
            <w:pPr>
              <w:jc w:val="center"/>
            </w:pPr>
            <w:r>
              <w:rPr>
                <w:sz w:val="17"/>
              </w:rPr>
              <w:t>28 x 28 x 1</w:t>
            </w:r>
          </w:p>
        </w:tc>
        <w:tc>
          <w:tcPr>
            <w:tcW w:type="dxa" w:w="4392"/>
            <w:vAlign w:val="center"/>
            <w:tcMar>
              <w:top w:w="90" w:type="dxa"/>
              <w:start w:w="90" w:type="dxa"/>
              <w:bottom w:w="90" w:type="dxa"/>
              <w:end w:w="90" w:type="dxa"/>
            </w:tcMar>
          </w:tcPr>
          <w:p>
            <w:pPr>
              <w:jc w:val="center"/>
            </w:pPr>
            <w:r>
              <w:rPr>
                <w:sz w:val="17"/>
              </w:rPr>
              <w:t>Imagen normalizada</w:t>
            </w:r>
          </w:p>
        </w:tc>
      </w:tr>
      <w:tr>
        <w:tc>
          <w:tcPr>
            <w:tcW w:type="dxa" w:w="3528"/>
            <w:vAlign w:val="center"/>
            <w:tcMar>
              <w:top w:w="90" w:type="dxa"/>
              <w:start w:w="90" w:type="dxa"/>
              <w:bottom w:w="90" w:type="dxa"/>
              <w:end w:w="90" w:type="dxa"/>
            </w:tcMar>
            <w:shd w:fill="EAF2F8"/>
          </w:tcPr>
          <w:p>
            <w:pPr>
              <w:jc w:val="left"/>
            </w:pPr>
            <w:r>
              <w:rPr>
                <w:sz w:val="17"/>
              </w:rPr>
              <w:t>Conv2D 32 y ReLU</w:t>
            </w:r>
          </w:p>
        </w:tc>
        <w:tc>
          <w:tcPr>
            <w:tcW w:type="dxa" w:w="2088"/>
            <w:vAlign w:val="center"/>
            <w:tcMar>
              <w:top w:w="90" w:type="dxa"/>
              <w:start w:w="90" w:type="dxa"/>
              <w:bottom w:w="90" w:type="dxa"/>
              <w:end w:w="90" w:type="dxa"/>
            </w:tcMar>
            <w:shd w:fill="EAF2F8"/>
          </w:tcPr>
          <w:p>
            <w:pPr>
              <w:jc w:val="center"/>
            </w:pPr>
            <w:r>
              <w:rPr>
                <w:sz w:val="17"/>
              </w:rPr>
              <w:t>28 x 28 x 32</w:t>
            </w:r>
          </w:p>
        </w:tc>
        <w:tc>
          <w:tcPr>
            <w:tcW w:type="dxa" w:w="4392"/>
            <w:vAlign w:val="center"/>
            <w:tcMar>
              <w:top w:w="90" w:type="dxa"/>
              <w:start w:w="90" w:type="dxa"/>
              <w:bottom w:w="90" w:type="dxa"/>
              <w:end w:w="90" w:type="dxa"/>
            </w:tcMar>
            <w:shd w:fill="EAF2F8"/>
          </w:tcPr>
          <w:p>
            <w:pPr>
              <w:jc w:val="center"/>
            </w:pPr>
            <w:r>
              <w:rPr>
                <w:sz w:val="17"/>
              </w:rPr>
              <w:t>Bordes y texturas locales</w:t>
            </w:r>
          </w:p>
        </w:tc>
      </w:tr>
      <w:tr>
        <w:tc>
          <w:tcPr>
            <w:tcW w:type="dxa" w:w="3528"/>
            <w:vAlign w:val="center"/>
            <w:tcMar>
              <w:top w:w="90" w:type="dxa"/>
              <w:start w:w="90" w:type="dxa"/>
              <w:bottom w:w="90" w:type="dxa"/>
              <w:end w:w="90" w:type="dxa"/>
            </w:tcMar>
          </w:tcPr>
          <w:p>
            <w:pPr>
              <w:jc w:val="left"/>
            </w:pPr>
            <w:r>
              <w:rPr>
                <w:sz w:val="17"/>
              </w:rPr>
              <w:t>MaxPooling</w:t>
            </w:r>
          </w:p>
        </w:tc>
        <w:tc>
          <w:tcPr>
            <w:tcW w:type="dxa" w:w="2088"/>
            <w:vAlign w:val="center"/>
            <w:tcMar>
              <w:top w:w="90" w:type="dxa"/>
              <w:start w:w="90" w:type="dxa"/>
              <w:bottom w:w="90" w:type="dxa"/>
              <w:end w:w="90" w:type="dxa"/>
            </w:tcMar>
          </w:tcPr>
          <w:p>
            <w:pPr>
              <w:jc w:val="center"/>
            </w:pPr>
            <w:r>
              <w:rPr>
                <w:sz w:val="17"/>
              </w:rPr>
              <w:t>14 x 14 x 32</w:t>
            </w:r>
          </w:p>
        </w:tc>
        <w:tc>
          <w:tcPr>
            <w:tcW w:type="dxa" w:w="4392"/>
            <w:vAlign w:val="center"/>
            <w:tcMar>
              <w:top w:w="90" w:type="dxa"/>
              <w:start w:w="90" w:type="dxa"/>
              <w:bottom w:w="90" w:type="dxa"/>
              <w:end w:w="90" w:type="dxa"/>
            </w:tcMar>
          </w:tcPr>
          <w:p>
            <w:pPr>
              <w:jc w:val="center"/>
            </w:pPr>
            <w:r>
              <w:rPr>
                <w:sz w:val="17"/>
              </w:rPr>
              <w:t>Reducción espacial</w:t>
            </w:r>
          </w:p>
        </w:tc>
      </w:tr>
      <w:tr>
        <w:tc>
          <w:tcPr>
            <w:tcW w:type="dxa" w:w="3528"/>
            <w:vAlign w:val="center"/>
            <w:tcMar>
              <w:top w:w="90" w:type="dxa"/>
              <w:start w:w="90" w:type="dxa"/>
              <w:bottom w:w="90" w:type="dxa"/>
              <w:end w:w="90" w:type="dxa"/>
            </w:tcMar>
            <w:shd w:fill="EAF2F8"/>
          </w:tcPr>
          <w:p>
            <w:pPr>
              <w:jc w:val="left"/>
            </w:pPr>
            <w:r>
              <w:rPr>
                <w:sz w:val="17"/>
              </w:rPr>
              <w:t>Conv2D 64 y ReLU</w:t>
            </w:r>
          </w:p>
        </w:tc>
        <w:tc>
          <w:tcPr>
            <w:tcW w:type="dxa" w:w="2088"/>
            <w:vAlign w:val="center"/>
            <w:tcMar>
              <w:top w:w="90" w:type="dxa"/>
              <w:start w:w="90" w:type="dxa"/>
              <w:bottom w:w="90" w:type="dxa"/>
              <w:end w:w="90" w:type="dxa"/>
            </w:tcMar>
            <w:shd w:fill="EAF2F8"/>
          </w:tcPr>
          <w:p>
            <w:pPr>
              <w:jc w:val="center"/>
            </w:pPr>
            <w:r>
              <w:rPr>
                <w:sz w:val="17"/>
              </w:rPr>
              <w:t>14 x 14 x 64</w:t>
            </w:r>
          </w:p>
        </w:tc>
        <w:tc>
          <w:tcPr>
            <w:tcW w:type="dxa" w:w="4392"/>
            <w:vAlign w:val="center"/>
            <w:tcMar>
              <w:top w:w="90" w:type="dxa"/>
              <w:start w:w="90" w:type="dxa"/>
              <w:bottom w:w="90" w:type="dxa"/>
              <w:end w:w="90" w:type="dxa"/>
            </w:tcMar>
            <w:shd w:fill="EAF2F8"/>
          </w:tcPr>
          <w:p>
            <w:pPr>
              <w:jc w:val="center"/>
            </w:pPr>
            <w:r>
              <w:rPr>
                <w:sz w:val="17"/>
              </w:rPr>
              <w:t>Patrones de mayor nivel</w:t>
            </w:r>
          </w:p>
        </w:tc>
      </w:tr>
      <w:tr>
        <w:tc>
          <w:tcPr>
            <w:tcW w:type="dxa" w:w="3528"/>
            <w:vAlign w:val="center"/>
            <w:tcMar>
              <w:top w:w="90" w:type="dxa"/>
              <w:start w:w="90" w:type="dxa"/>
              <w:bottom w:w="90" w:type="dxa"/>
              <w:end w:w="90" w:type="dxa"/>
            </w:tcMar>
          </w:tcPr>
          <w:p>
            <w:pPr>
              <w:jc w:val="left"/>
            </w:pPr>
            <w:r>
              <w:rPr>
                <w:sz w:val="17"/>
              </w:rPr>
              <w:t>MaxPooling</w:t>
            </w:r>
          </w:p>
        </w:tc>
        <w:tc>
          <w:tcPr>
            <w:tcW w:type="dxa" w:w="2088"/>
            <w:vAlign w:val="center"/>
            <w:tcMar>
              <w:top w:w="90" w:type="dxa"/>
              <w:start w:w="90" w:type="dxa"/>
              <w:bottom w:w="90" w:type="dxa"/>
              <w:end w:w="90" w:type="dxa"/>
            </w:tcMar>
          </w:tcPr>
          <w:p>
            <w:pPr>
              <w:jc w:val="center"/>
            </w:pPr>
            <w:r>
              <w:rPr>
                <w:sz w:val="17"/>
              </w:rPr>
              <w:t>7 x 7 x 64</w:t>
            </w:r>
          </w:p>
        </w:tc>
        <w:tc>
          <w:tcPr>
            <w:tcW w:type="dxa" w:w="4392"/>
            <w:vAlign w:val="center"/>
            <w:tcMar>
              <w:top w:w="90" w:type="dxa"/>
              <w:start w:w="90" w:type="dxa"/>
              <w:bottom w:w="90" w:type="dxa"/>
              <w:end w:w="90" w:type="dxa"/>
            </w:tcMar>
          </w:tcPr>
          <w:p>
            <w:pPr>
              <w:jc w:val="center"/>
            </w:pPr>
            <w:r>
              <w:rPr>
                <w:sz w:val="17"/>
              </w:rPr>
              <w:t>Síntesis de características</w:t>
            </w:r>
          </w:p>
        </w:tc>
      </w:tr>
      <w:tr>
        <w:tc>
          <w:tcPr>
            <w:tcW w:type="dxa" w:w="3528"/>
            <w:vAlign w:val="center"/>
            <w:tcMar>
              <w:top w:w="90" w:type="dxa"/>
              <w:start w:w="90" w:type="dxa"/>
              <w:bottom w:w="90" w:type="dxa"/>
              <w:end w:w="90" w:type="dxa"/>
            </w:tcMar>
            <w:shd w:fill="EAF2F8"/>
          </w:tcPr>
          <w:p>
            <w:pPr>
              <w:jc w:val="left"/>
            </w:pPr>
            <w:r>
              <w:rPr>
                <w:sz w:val="17"/>
              </w:rPr>
              <w:t>Flatten y Dense 128</w:t>
            </w:r>
          </w:p>
        </w:tc>
        <w:tc>
          <w:tcPr>
            <w:tcW w:type="dxa" w:w="2088"/>
            <w:vAlign w:val="center"/>
            <w:tcMar>
              <w:top w:w="90" w:type="dxa"/>
              <w:start w:w="90" w:type="dxa"/>
              <w:bottom w:w="90" w:type="dxa"/>
              <w:end w:w="90" w:type="dxa"/>
            </w:tcMar>
            <w:shd w:fill="EAF2F8"/>
          </w:tcPr>
          <w:p>
            <w:pPr>
              <w:jc w:val="center"/>
            </w:pPr>
            <w:r>
              <w:rPr>
                <w:sz w:val="17"/>
              </w:rPr>
              <w:t>128</w:t>
            </w:r>
          </w:p>
        </w:tc>
        <w:tc>
          <w:tcPr>
            <w:tcW w:type="dxa" w:w="4392"/>
            <w:vAlign w:val="center"/>
            <w:tcMar>
              <w:top w:w="90" w:type="dxa"/>
              <w:start w:w="90" w:type="dxa"/>
              <w:bottom w:w="90" w:type="dxa"/>
              <w:end w:w="90" w:type="dxa"/>
            </w:tcMar>
            <w:shd w:fill="EAF2F8"/>
          </w:tcPr>
          <w:p>
            <w:pPr>
              <w:jc w:val="center"/>
            </w:pPr>
            <w:r>
              <w:rPr>
                <w:sz w:val="17"/>
              </w:rPr>
              <w:t>Integración global</w:t>
            </w:r>
          </w:p>
        </w:tc>
      </w:tr>
      <w:tr>
        <w:tc>
          <w:tcPr>
            <w:tcW w:type="dxa" w:w="3528"/>
            <w:vAlign w:val="center"/>
            <w:tcMar>
              <w:top w:w="90" w:type="dxa"/>
              <w:start w:w="90" w:type="dxa"/>
              <w:bottom w:w="90" w:type="dxa"/>
              <w:end w:w="90" w:type="dxa"/>
            </w:tcMar>
          </w:tcPr>
          <w:p>
            <w:pPr>
              <w:jc w:val="left"/>
            </w:pPr>
            <w:r>
              <w:rPr>
                <w:sz w:val="17"/>
              </w:rPr>
              <w:t>Dense y Softmax</w:t>
            </w:r>
          </w:p>
        </w:tc>
        <w:tc>
          <w:tcPr>
            <w:tcW w:type="dxa" w:w="2088"/>
            <w:vAlign w:val="center"/>
            <w:tcMar>
              <w:top w:w="90" w:type="dxa"/>
              <w:start w:w="90" w:type="dxa"/>
              <w:bottom w:w="90" w:type="dxa"/>
              <w:end w:w="90" w:type="dxa"/>
            </w:tcMar>
          </w:tcPr>
          <w:p>
            <w:pPr>
              <w:jc w:val="center"/>
            </w:pPr>
            <w:r>
              <w:rPr>
                <w:sz w:val="17"/>
              </w:rPr>
              <w:t>10</w:t>
            </w:r>
          </w:p>
        </w:tc>
        <w:tc>
          <w:tcPr>
            <w:tcW w:type="dxa" w:w="4392"/>
            <w:vAlign w:val="center"/>
            <w:tcMar>
              <w:top w:w="90" w:type="dxa"/>
              <w:start w:w="90" w:type="dxa"/>
              <w:bottom w:w="90" w:type="dxa"/>
              <w:end w:w="90" w:type="dxa"/>
            </w:tcMar>
          </w:tcPr>
          <w:p>
            <w:pPr>
              <w:jc w:val="center"/>
            </w:pPr>
            <w:r>
              <w:rPr>
                <w:sz w:val="17"/>
              </w:rPr>
              <w:t>Probabilidad por clase</w:t>
            </w:r>
          </w:p>
        </w:tc>
      </w:tr>
    </w:tbl>
    <w:p>
      <w:r>
        <w:br w:type="page"/>
      </w:r>
    </w:p>
    <w:p>
      <w:pPr>
        <w:pStyle w:val="Heading1"/>
      </w:pPr>
      <w:r>
        <w:t>Entrenamiento y control del ajuste</w:t>
      </w:r>
    </w:p>
    <w:p>
      <w:r>
        <w:t>Los tres modelos se entrenaron durante un máximo de diez épocas, con lotes de 128 imágenes. Adam utilizó un learning rate inicial de 0,001 y la función de pérdida fue sparse categorical cross-entropy. EarlyStopping restauró los mejores pesos, ReduceLROnPlateau redujo el learning rate ante estancamiento y ModelCheckpoint conservó la menor pérdida de validación.</w:t>
      </w:r>
    </w:p>
    <w:p>
      <w:pPr>
        <w:pStyle w:val="Heading1"/>
      </w:pPr>
      <w:r>
        <w:t>Comparación experimental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c>
          <w:tcPr>
            <w:tcW w:type="dxa" w:w="2088"/>
            <w:vAlign w:val="center"/>
            <w:shd w:fill="1F4E78"/>
            <w:tcMar>
              <w:top w:w="90" w:type="dxa"/>
              <w:start w:w="90" w:type="dxa"/>
              <w:bottom w:w="90" w:type="dxa"/>
              <w:end w:w="90" w:type="dxa"/>
            </w:tcMar>
          </w:tcPr>
          <w:p>
            <w:pPr>
              <w:jc w:val="center"/>
            </w:pPr>
            <w:r>
              <w:rPr>
                <w:b/>
                <w:color w:val="FFFFFF"/>
                <w:sz w:val="18"/>
              </w:rPr>
              <w:t>Modelo</w:t>
            </w:r>
          </w:p>
        </w:tc>
        <w:tc>
          <w:tcPr>
            <w:tcW w:type="dxa" w:w="1512"/>
            <w:vAlign w:val="center"/>
            <w:shd w:fill="1F4E78"/>
            <w:tcMar>
              <w:top w:w="90" w:type="dxa"/>
              <w:start w:w="90" w:type="dxa"/>
              <w:bottom w:w="90" w:type="dxa"/>
              <w:end w:w="90" w:type="dxa"/>
            </w:tcMar>
          </w:tcPr>
          <w:p>
            <w:pPr>
              <w:jc w:val="center"/>
            </w:pPr>
            <w:r>
              <w:rPr>
                <w:b/>
                <w:color w:val="FFFFFF"/>
                <w:sz w:val="18"/>
              </w:rPr>
              <w:t>Parámetros</w:t>
            </w:r>
          </w:p>
        </w:tc>
        <w:tc>
          <w:tcPr>
            <w:tcW w:type="dxa" w:w="936"/>
            <w:vAlign w:val="center"/>
            <w:shd w:fill="1F4E78"/>
            <w:tcMar>
              <w:top w:w="90" w:type="dxa"/>
              <w:start w:w="90" w:type="dxa"/>
              <w:bottom w:w="90" w:type="dxa"/>
              <w:end w:w="90" w:type="dxa"/>
            </w:tcMar>
          </w:tcPr>
          <w:p>
            <w:pPr>
              <w:jc w:val="center"/>
            </w:pPr>
            <w:r>
              <w:rPr>
                <w:b/>
                <w:color w:val="FFFFFF"/>
                <w:sz w:val="18"/>
              </w:rPr>
              <w:t>Época</w:t>
            </w:r>
          </w:p>
        </w:tc>
        <w:tc>
          <w:tcPr>
            <w:tcW w:type="dxa" w:w="1656"/>
            <w:vAlign w:val="center"/>
            <w:shd w:fill="1F4E78"/>
            <w:tcMar>
              <w:top w:w="90" w:type="dxa"/>
              <w:start w:w="90" w:type="dxa"/>
              <w:bottom w:w="90" w:type="dxa"/>
              <w:end w:w="90" w:type="dxa"/>
            </w:tcMar>
          </w:tcPr>
          <w:p>
            <w:pPr>
              <w:jc w:val="center"/>
            </w:pPr>
            <w:r>
              <w:rPr>
                <w:b/>
                <w:color w:val="FFFFFF"/>
                <w:sz w:val="18"/>
              </w:rPr>
              <w:t>Train acc</w:t>
            </w:r>
          </w:p>
        </w:tc>
        <w:tc>
          <w:tcPr>
            <w:tcW w:type="dxa" w:w="1656"/>
            <w:vAlign w:val="center"/>
            <w:shd w:fill="1F4E78"/>
            <w:tcMar>
              <w:top w:w="90" w:type="dxa"/>
              <w:start w:w="90" w:type="dxa"/>
              <w:bottom w:w="90" w:type="dxa"/>
              <w:end w:w="90" w:type="dxa"/>
            </w:tcMar>
          </w:tcPr>
          <w:p>
            <w:pPr>
              <w:jc w:val="center"/>
            </w:pPr>
            <w:r>
              <w:rPr>
                <w:b/>
                <w:color w:val="FFFFFF"/>
                <w:sz w:val="18"/>
              </w:rPr>
              <w:t>Val acc</w:t>
            </w:r>
          </w:p>
        </w:tc>
        <w:tc>
          <w:tcPr>
            <w:tcW w:type="dxa" w:w="1512"/>
            <w:vAlign w:val="center"/>
            <w:shd w:fill="1F4E78"/>
            <w:tcMar>
              <w:top w:w="90" w:type="dxa"/>
              <w:start w:w="90" w:type="dxa"/>
              <w:bottom w:w="90" w:type="dxa"/>
              <w:end w:w="90" w:type="dxa"/>
            </w:tcMar>
          </w:tcPr>
          <w:p>
            <w:pPr>
              <w:jc w:val="center"/>
            </w:pPr>
            <w:r>
              <w:rPr>
                <w:b/>
                <w:color w:val="FFFFFF"/>
                <w:sz w:val="18"/>
              </w:rPr>
              <w:t>Val loss</w:t>
            </w:r>
          </w:p>
        </w:tc>
      </w:tr>
      <w:tr>
        <w:tc>
          <w:tcPr>
            <w:tcW w:type="dxa" w:w="2088"/>
            <w:vAlign w:val="center"/>
            <w:tcMar>
              <w:top w:w="90" w:type="dxa"/>
              <w:start w:w="90" w:type="dxa"/>
              <w:bottom w:w="90" w:type="dxa"/>
              <w:end w:w="90" w:type="dxa"/>
            </w:tcMar>
          </w:tcPr>
          <w:p>
            <w:pPr>
              <w:jc w:val="left"/>
            </w:pPr>
            <w:r>
              <w:rPr>
                <w:sz w:val="17"/>
              </w:rPr>
              <w:t>Base</w:t>
            </w:r>
          </w:p>
        </w:tc>
        <w:tc>
          <w:tcPr>
            <w:tcW w:type="dxa" w:w="1512"/>
            <w:vAlign w:val="center"/>
            <w:tcMar>
              <w:top w:w="90" w:type="dxa"/>
              <w:start w:w="90" w:type="dxa"/>
              <w:bottom w:w="90" w:type="dxa"/>
              <w:end w:w="90" w:type="dxa"/>
            </w:tcMar>
          </w:tcPr>
          <w:p>
            <w:pPr>
              <w:jc w:val="center"/>
            </w:pPr>
            <w:r>
              <w:rPr>
                <w:sz w:val="17"/>
              </w:rPr>
              <w:t>421.642</w:t>
            </w:r>
          </w:p>
        </w:tc>
        <w:tc>
          <w:tcPr>
            <w:tcW w:type="dxa" w:w="936"/>
            <w:vAlign w:val="center"/>
            <w:tcMar>
              <w:top w:w="90" w:type="dxa"/>
              <w:start w:w="90" w:type="dxa"/>
              <w:bottom w:w="90" w:type="dxa"/>
              <w:end w:w="90" w:type="dxa"/>
            </w:tcMar>
          </w:tcPr>
          <w:p>
            <w:pPr>
              <w:jc w:val="center"/>
            </w:pPr>
            <w:r>
              <w:rPr>
                <w:sz w:val="17"/>
              </w:rPr>
              <w:t>7</w:t>
            </w:r>
          </w:p>
        </w:tc>
        <w:tc>
          <w:tcPr>
            <w:tcW w:type="dxa" w:w="1656"/>
            <w:vAlign w:val="center"/>
            <w:tcMar>
              <w:top w:w="90" w:type="dxa"/>
              <w:start w:w="90" w:type="dxa"/>
              <w:bottom w:w="90" w:type="dxa"/>
              <w:end w:w="90" w:type="dxa"/>
            </w:tcMar>
          </w:tcPr>
          <w:p>
            <w:pPr>
              <w:jc w:val="center"/>
            </w:pPr>
            <w:r>
              <w:rPr>
                <w:sz w:val="17"/>
              </w:rPr>
              <w:t>93.47 %</w:t>
            </w:r>
          </w:p>
        </w:tc>
        <w:tc>
          <w:tcPr>
            <w:tcW w:type="dxa" w:w="1656"/>
            <w:vAlign w:val="center"/>
            <w:tcMar>
              <w:top w:w="90" w:type="dxa"/>
              <w:start w:w="90" w:type="dxa"/>
              <w:bottom w:w="90" w:type="dxa"/>
              <w:end w:w="90" w:type="dxa"/>
            </w:tcMar>
          </w:tcPr>
          <w:p>
            <w:pPr>
              <w:jc w:val="center"/>
            </w:pPr>
            <w:r>
              <w:rPr>
                <w:sz w:val="17"/>
              </w:rPr>
              <w:t>92.03 %</w:t>
            </w:r>
          </w:p>
        </w:tc>
        <w:tc>
          <w:tcPr>
            <w:tcW w:type="dxa" w:w="1512"/>
            <w:vAlign w:val="center"/>
            <w:tcMar>
              <w:top w:w="90" w:type="dxa"/>
              <w:start w:w="90" w:type="dxa"/>
              <w:bottom w:w="90" w:type="dxa"/>
              <w:end w:w="90" w:type="dxa"/>
            </w:tcMar>
          </w:tcPr>
          <w:p>
            <w:pPr>
              <w:jc w:val="center"/>
            </w:pPr>
            <w:r>
              <w:rPr>
                <w:sz w:val="17"/>
              </w:rPr>
              <w:t>0.2229</w:t>
            </w:r>
          </w:p>
        </w:tc>
      </w:tr>
      <w:tr>
        <w:tc>
          <w:tcPr>
            <w:tcW w:type="dxa" w:w="2088"/>
            <w:vAlign w:val="center"/>
            <w:tcMar>
              <w:top w:w="90" w:type="dxa"/>
              <w:start w:w="90" w:type="dxa"/>
              <w:bottom w:w="90" w:type="dxa"/>
              <w:end w:w="90" w:type="dxa"/>
            </w:tcMar>
            <w:shd w:fill="EAF2F8"/>
          </w:tcPr>
          <w:p>
            <w:pPr>
              <w:jc w:val="left"/>
            </w:pPr>
            <w:r>
              <w:rPr>
                <w:sz w:val="17"/>
              </w:rPr>
              <w:t>Regularizada</w:t>
            </w:r>
          </w:p>
        </w:tc>
        <w:tc>
          <w:tcPr>
            <w:tcW w:type="dxa" w:w="1512"/>
            <w:vAlign w:val="center"/>
            <w:tcMar>
              <w:top w:w="90" w:type="dxa"/>
              <w:start w:w="90" w:type="dxa"/>
              <w:bottom w:w="90" w:type="dxa"/>
              <w:end w:w="90" w:type="dxa"/>
            </w:tcMar>
            <w:shd w:fill="EAF2F8"/>
          </w:tcPr>
          <w:p>
            <w:pPr>
              <w:jc w:val="center"/>
            </w:pPr>
            <w:r>
              <w:rPr>
                <w:sz w:val="17"/>
              </w:rPr>
              <w:t>94.346</w:t>
            </w:r>
          </w:p>
        </w:tc>
        <w:tc>
          <w:tcPr>
            <w:tcW w:type="dxa" w:w="936"/>
            <w:vAlign w:val="center"/>
            <w:tcMar>
              <w:top w:w="90" w:type="dxa"/>
              <w:start w:w="90" w:type="dxa"/>
              <w:bottom w:w="90" w:type="dxa"/>
              <w:end w:w="90" w:type="dxa"/>
            </w:tcMar>
            <w:shd w:fill="EAF2F8"/>
          </w:tcPr>
          <w:p>
            <w:pPr>
              <w:jc w:val="center"/>
            </w:pPr>
            <w:r>
              <w:rPr>
                <w:sz w:val="17"/>
              </w:rPr>
              <w:t>9</w:t>
            </w:r>
          </w:p>
        </w:tc>
        <w:tc>
          <w:tcPr>
            <w:tcW w:type="dxa" w:w="1656"/>
            <w:vAlign w:val="center"/>
            <w:tcMar>
              <w:top w:w="90" w:type="dxa"/>
              <w:start w:w="90" w:type="dxa"/>
              <w:bottom w:w="90" w:type="dxa"/>
              <w:end w:w="90" w:type="dxa"/>
            </w:tcMar>
            <w:shd w:fill="EAF2F8"/>
          </w:tcPr>
          <w:p>
            <w:pPr>
              <w:jc w:val="center"/>
            </w:pPr>
            <w:r>
              <w:rPr>
                <w:sz w:val="17"/>
              </w:rPr>
              <w:t>89.00 %</w:t>
            </w:r>
          </w:p>
        </w:tc>
        <w:tc>
          <w:tcPr>
            <w:tcW w:type="dxa" w:w="1656"/>
            <w:vAlign w:val="center"/>
            <w:tcMar>
              <w:top w:w="90" w:type="dxa"/>
              <w:start w:w="90" w:type="dxa"/>
              <w:bottom w:w="90" w:type="dxa"/>
              <w:end w:w="90" w:type="dxa"/>
            </w:tcMar>
            <w:shd w:fill="EAF2F8"/>
          </w:tcPr>
          <w:p>
            <w:pPr>
              <w:jc w:val="center"/>
            </w:pPr>
            <w:r>
              <w:rPr>
                <w:sz w:val="17"/>
              </w:rPr>
              <w:t>89.39 %</w:t>
            </w:r>
          </w:p>
        </w:tc>
        <w:tc>
          <w:tcPr>
            <w:tcW w:type="dxa" w:w="1512"/>
            <w:vAlign w:val="center"/>
            <w:tcMar>
              <w:top w:w="90" w:type="dxa"/>
              <w:start w:w="90" w:type="dxa"/>
              <w:bottom w:w="90" w:type="dxa"/>
              <w:end w:w="90" w:type="dxa"/>
            </w:tcMar>
            <w:shd w:fill="EAF2F8"/>
          </w:tcPr>
          <w:p>
            <w:pPr>
              <w:jc w:val="center"/>
            </w:pPr>
            <w:r>
              <w:rPr>
                <w:sz w:val="17"/>
              </w:rPr>
              <w:t>0.2968</w:t>
            </w:r>
          </w:p>
        </w:tc>
      </w:tr>
      <w:tr>
        <w:tc>
          <w:tcPr>
            <w:tcW w:type="dxa" w:w="2088"/>
            <w:vAlign w:val="center"/>
            <w:tcMar>
              <w:top w:w="90" w:type="dxa"/>
              <w:start w:w="90" w:type="dxa"/>
              <w:bottom w:w="90" w:type="dxa"/>
              <w:end w:w="90" w:type="dxa"/>
            </w:tcMar>
          </w:tcPr>
          <w:p>
            <w:pPr>
              <w:jc w:val="left"/>
            </w:pPr>
            <w:r>
              <w:rPr>
                <w:sz w:val="17"/>
              </w:rPr>
              <w:t>Mayor capacidad</w:t>
            </w:r>
          </w:p>
        </w:tc>
        <w:tc>
          <w:tcPr>
            <w:tcW w:type="dxa" w:w="1512"/>
            <w:vAlign w:val="center"/>
            <w:tcMar>
              <w:top w:w="90" w:type="dxa"/>
              <w:start w:w="90" w:type="dxa"/>
              <w:bottom w:w="90" w:type="dxa"/>
              <w:end w:w="90" w:type="dxa"/>
            </w:tcMar>
          </w:tcPr>
          <w:p>
            <w:pPr>
              <w:jc w:val="center"/>
            </w:pPr>
            <w:r>
              <w:rPr>
                <w:sz w:val="17"/>
              </w:rPr>
              <w:t>250.058</w:t>
            </w:r>
          </w:p>
        </w:tc>
        <w:tc>
          <w:tcPr>
            <w:tcW w:type="dxa" w:w="936"/>
            <w:vAlign w:val="center"/>
            <w:tcMar>
              <w:top w:w="90" w:type="dxa"/>
              <w:start w:w="90" w:type="dxa"/>
              <w:bottom w:w="90" w:type="dxa"/>
              <w:end w:w="90" w:type="dxa"/>
            </w:tcMar>
          </w:tcPr>
          <w:p>
            <w:pPr>
              <w:jc w:val="center"/>
            </w:pPr>
            <w:r>
              <w:rPr>
                <w:sz w:val="17"/>
              </w:rPr>
              <w:t>9</w:t>
            </w:r>
          </w:p>
        </w:tc>
        <w:tc>
          <w:tcPr>
            <w:tcW w:type="dxa" w:w="1656"/>
            <w:vAlign w:val="center"/>
            <w:tcMar>
              <w:top w:w="90" w:type="dxa"/>
              <w:start w:w="90" w:type="dxa"/>
              <w:bottom w:w="90" w:type="dxa"/>
              <w:end w:w="90" w:type="dxa"/>
            </w:tcMar>
          </w:tcPr>
          <w:p>
            <w:pPr>
              <w:jc w:val="center"/>
            </w:pPr>
            <w:r>
              <w:rPr>
                <w:sz w:val="17"/>
              </w:rPr>
              <w:t>90.13 %</w:t>
            </w:r>
          </w:p>
        </w:tc>
        <w:tc>
          <w:tcPr>
            <w:tcW w:type="dxa" w:w="1656"/>
            <w:vAlign w:val="center"/>
            <w:tcMar>
              <w:top w:w="90" w:type="dxa"/>
              <w:start w:w="90" w:type="dxa"/>
              <w:bottom w:w="90" w:type="dxa"/>
              <w:end w:w="90" w:type="dxa"/>
            </w:tcMar>
          </w:tcPr>
          <w:p>
            <w:pPr>
              <w:jc w:val="center"/>
            </w:pPr>
            <w:r>
              <w:rPr>
                <w:sz w:val="17"/>
              </w:rPr>
              <w:t>89.40 %</w:t>
            </w:r>
          </w:p>
        </w:tc>
        <w:tc>
          <w:tcPr>
            <w:tcW w:type="dxa" w:w="1512"/>
            <w:vAlign w:val="center"/>
            <w:tcMar>
              <w:top w:w="90" w:type="dxa"/>
              <w:start w:w="90" w:type="dxa"/>
              <w:bottom w:w="90" w:type="dxa"/>
              <w:end w:w="90" w:type="dxa"/>
            </w:tcMar>
          </w:tcPr>
          <w:p>
            <w:pPr>
              <w:jc w:val="center"/>
            </w:pPr>
            <w:r>
              <w:rPr>
                <w:sz w:val="17"/>
              </w:rPr>
              <w:t>0.2987</w:t>
            </w:r>
          </w:p>
        </w:tc>
      </w:tr>
    </w:tbl>
    <w:p>
      <w:pPr>
        <w:spacing w:before="12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experiment_comparison.png"/>
                    <pic:cNvPicPr/>
                  </pic:nvPicPr>
                  <pic:blipFill>
                    <a:blip r:embed="rId10"/>
                    <a:stretch>
                      <a:fillRect/>
                    </a:stretch>
                  </pic:blipFill>
                  <pic:spPr>
                    <a:xfrm>
                      <a:off x="0" y="0"/>
                      <a:ext cx="5349240" cy="3008948"/>
                    </a:xfrm>
                    <a:prstGeom prst="rect"/>
                  </pic:spPr>
                </pic:pic>
              </a:graphicData>
            </a:graphic>
          </wp:inline>
        </w:drawing>
      </w:r>
    </w:p>
    <w:p>
      <w:pPr>
        <w:spacing w:before="40" w:after="100"/>
        <w:jc w:val="center"/>
      </w:pPr>
      <w:r>
        <w:rPr>
          <w:i/>
          <w:sz w:val="17"/>
        </w:rPr>
        <w:t>Figura 1  Accuracy de entrenamiento y validación en la mejor época</w:t>
      </w:r>
    </w:p>
    <w:p>
      <w:pPr>
        <w:pStyle w:val="Heading1"/>
      </w:pPr>
      <w:r>
        <w:t>Análisis de sesgo y varianza</w:t>
      </w:r>
    </w:p>
    <w:p>
      <w:r>
        <w:t>El modelo base alcanzó 93,47 % de accuracy de entrenamiento y 92,03 % de validación en la época 7. La brecha de 1,44 puntos indica varianza moderada, pero su pérdida de validación de 0,2229 fue la menor del estudio. En las tres épocas siguientes el entrenamiento continuó mejorando mientras la validación se estancó, evidencia de sobreajuste incipiente que justificó restaurar la época 7.</w:t>
      </w:r>
    </w:p>
    <w:p>
      <w:r>
        <w:t>La variante regularizada combinó aumentación, Batch Normalization, Global Average Pooling y Dropout. La diferencia entre entrenamiento y validación fue mínima, pero ambas métricas quedaron cerca de 89 %, lo que señala mayor sesgo. La red de mayor capacidad tampoco compensó esa regularización: obtuvo 89,40 % de validación y mostró oscilaciones entre épocas. Se seleccionó el modelo base por la menor pérdida de validación, sin consultar el conjunto de prueba.</w:t>
      </w:r>
    </w:p>
    <w:p>
      <w:r>
        <w:br w:type="page"/>
      </w:r>
    </w:p>
    <w:p>
      <w:pPr>
        <w:pStyle w:val="Heading1"/>
      </w:pPr>
      <w:r>
        <w:t>Evaluación final</w:t>
      </w:r>
    </w:p>
    <w:p>
      <w:r>
        <w:t>El modelo seleccionado se evaluó una sola vez sobre el conjunto de prueba. Obtuvo una pérdida de 0.2467, accuracy de 91.25 % y F1 macro de 0.9127. La cercanía entre accuracy y F1 macro es consistente con las 1.000 muestras por clase del conjunto de prueba.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3063240" cy="1113905"/>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3063240" cy="1113905"/>
                          </a:xfrm>
                          <a:prstGeom prst="rect"/>
                        </pic:spPr>
                      </pic:pic>
                    </a:graphicData>
                  </a:graphic>
                </wp:inline>
              </w:drawing>
            </w:r>
          </w:p>
        </w:tc>
        <w:tc>
          <w:tcPr>
            <w:tcW w:type="dxa" w:w="5083"/>
            <w:vAlign w:val="top"/>
            <w:tcMar>
              <w:top w:w="30" w:type="dxa"/>
              <w:start w:w="40" w:type="dxa"/>
              <w:bottom w:w="30" w:type="dxa"/>
              <w:end w:w="40" w:type="dxa"/>
            </w:tcMar>
          </w:tcPr>
          <w:p>
            <w:pPr>
              <w:jc w:val="center"/>
            </w:pPr>
            <w:r>
              <w:drawing>
                <wp:inline xmlns:a="http://schemas.openxmlformats.org/drawingml/2006/main" xmlns:pic="http://schemas.openxmlformats.org/drawingml/2006/picture">
                  <wp:extent cx="2971800" cy="2641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971800" cy="2641600"/>
                          </a:xfrm>
                          <a:prstGeom prst="rect"/>
                        </pic:spPr>
                      </pic:pic>
                    </a:graphicData>
                  </a:graphic>
                </wp:inline>
              </w:drawing>
            </w:r>
          </w:p>
        </w:tc>
      </w:tr>
    </w:tbl>
    <w:p>
      <w:pPr>
        <w:spacing w:before="40" w:after="100"/>
        <w:jc w:val="center"/>
      </w:pPr>
      <w:r>
        <w:rPr>
          <w:i/>
          <w:sz w:val="17"/>
        </w:rPr>
        <w:t>Figura 2  Curvas del modelo elegido y matriz de confusión sobre prueba</w:t>
      </w:r>
    </w:p>
    <w:p>
      <w:pPr>
        <w:pStyle w:val="Heading1"/>
      </w:pPr>
      <w:r>
        <w:t>Rendimiento por clase</w:t>
      </w:r>
    </w:p>
    <w:p>
      <w:r>
        <w:t>Trouser alcanzó F1 0,9856, Bag 0,9834 y Sandal 0,9799. La clase más difícil fue Shirt, con F1 0,7400, porque comparte siluetas y texturas con T-shirt/top, Pullover y Coat. Pullover y Coat obtuvieron F1 0,8700 y 0,8635. La matriz de confusión confirma que los errores se concentran en categorías visualmente similares y no en calzado o accesorios.</w:t>
      </w:r>
    </w:p>
    <w:p>
      <w:pPr>
        <w:pStyle w:val="Heading1"/>
      </w:pPr>
      <w:r>
        <w:t>Conclusiones</w:t>
      </w:r>
    </w:p>
    <w:p>
      <w:pPr>
        <w:pStyle w:val="ListBullet"/>
        <w:spacing w:after="40"/>
      </w:pPr>
      <w:r>
        <w:t>La CNN preservó la localidad espacial mediante convoluciones 2D de 3 x 3 y redujo las representaciones con MaxPooling.</w:t>
      </w:r>
    </w:p>
    <w:p>
      <w:pPr>
        <w:pStyle w:val="ListBullet"/>
        <w:spacing w:after="40"/>
      </w:pPr>
      <w:r>
        <w:t>La separación por lotes evitó compartir grupos entre entrenamiento y validación, y el test permaneció aislado hasta la selección final.</w:t>
      </w:r>
    </w:p>
    <w:p>
      <w:pPr>
        <w:pStyle w:val="ListBullet"/>
        <w:spacing w:after="40"/>
      </w:pPr>
      <w:r>
        <w:t>La arquitectura base ofreció el mejor equilibrio empírico: 91,25 % de accuracy de prueba con sobreajuste controlado mediante checkpoint y parada temprana.</w:t>
      </w:r>
    </w:p>
    <w:p>
      <w:pPr>
        <w:pStyle w:val="ListBullet"/>
        <w:spacing w:after="40"/>
      </w:pPr>
      <w:r>
        <w:t>El principal margen de mejora está en distinguir prendas superiores; una extensión razonable sería ajustar aumentación y regularización sin reducir la capacidad densa del modelo base.</w:t>
      </w:r>
    </w:p>
    <w:p>
      <w:pPr>
        <w:pStyle w:val="Heading1"/>
      </w:pPr>
      <w:r>
        <w:t>Archivos entregados</w:t>
      </w:r>
    </w:p>
    <w:p>
      <w:r>
        <w:t>El código reproducible se encuentra en cnn_pipeline.py y cnn_experiments.py. El modelo completo se exportó como cnn_fashion_mnist.keras y los pesos como cnn_fashion_mnist.weights.h5. Las métricas, historias de entrenamiento y gráficos permanecen en results/cnn.</w:t>
      </w:r>
    </w:p>
    <w:sectPr w:rsidR="00FC693F" w:rsidRPr="0006063C" w:rsidSect="00034616">
      <w:footerReference w:type="default" r:id="rId9"/>
      <w:pgSz w:w="12240" w:h="15840"/>
      <w:pgMar w:top="893"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