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Clasificación y pronóstico con redes CNN y RNN</w:t>
      </w:r>
    </w:p>
    <w:p>
      <w:pPr>
        <w:spacing w:after="160"/>
      </w:pPr>
      <w:r>
        <w:rPr>
          <w:color w:val="464646"/>
          <w:sz w:val="19"/>
        </w:rPr>
        <w:t>Inteligencia Artificial | Trabajo práctico integrador | 30 de septiembre de 2026</w:t>
      </w:r>
    </w:p>
    <w:p>
      <w:pPr>
        <w:pStyle w:val="Heading1"/>
      </w:pPr>
      <w:r>
        <w:t>Objetivo y resultado principal</w:t>
      </w:r>
    </w:p>
    <w:p>
      <w:r>
        <w:t>Se diseñaron y evaluaron dos módulos en Keras. La CNN clasificó las diez categorías de Fashion-MNIST con 91,25 % de accuracy y 0,9127 de F1 macro. La RNN pronosticó temperatura sobre Jena Climate: la GRU de 64 unidades logró MAE 1.918 °C y RMSE 2.370 °C en prueba, superando al baseline persistente.</w:t>
      </w:r>
    </w:p>
    <w:p>
      <w:pPr>
        <w:pStyle w:val="Heading1"/>
      </w:pPr>
      <w:r>
        <w:t>Datos y partición</w:t>
      </w:r>
    </w:p>
    <w:p>
      <w:r>
        <w:t>Fashion-MNIST contiene 70.000 imágenes en escala de grises de 28 por 28 píxeles. Se conservaron las 10.000 imágenes oficiales de prueba y las 60.000 restantes se organizaron en 600 lotes contiguos de 100 muestras. StratifiedGroupKFold, con cinco particiones y semilla 42, asignó 480 lotes al entrenamiento y 120 a validación, sin compartir lotes entre ambos conjuntos.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c>
          <w:tcPr>
            <w:tcW w:type="dxa" w:w="3024"/>
            <w:vAlign w:val="center"/>
            <w:shd w:fill="1F4E78"/>
            <w:tcMar>
              <w:top w:w="90" w:type="dxa"/>
              <w:start w:w="90" w:type="dxa"/>
              <w:bottom w:w="90" w:type="dxa"/>
              <w:end w:w="90" w:type="dxa"/>
            </w:tcMar>
          </w:tcPr>
          <w:p>
            <w:pPr>
              <w:jc w:val="center"/>
            </w:pPr>
            <w:r>
              <w:rPr>
                <w:b/>
                <w:color w:val="FFFFFF"/>
                <w:sz w:val="18"/>
              </w:rPr>
              <w:t>Conjunto</w:t>
            </w:r>
          </w:p>
        </w:tc>
        <w:tc>
          <w:tcPr>
            <w:tcW w:type="dxa" w:w="1872"/>
            <w:vAlign w:val="center"/>
            <w:shd w:fill="1F4E78"/>
            <w:tcMar>
              <w:top w:w="90" w:type="dxa"/>
              <w:start w:w="90" w:type="dxa"/>
              <w:bottom w:w="90" w:type="dxa"/>
              <w:end w:w="90" w:type="dxa"/>
            </w:tcMar>
          </w:tcPr>
          <w:p>
            <w:pPr>
              <w:jc w:val="center"/>
            </w:pPr>
            <w:r>
              <w:rPr>
                <w:b/>
                <w:color w:val="FFFFFF"/>
                <w:sz w:val="18"/>
              </w:rPr>
              <w:t>Muestras</w:t>
            </w:r>
          </w:p>
        </w:tc>
        <w:tc>
          <w:tcPr>
            <w:tcW w:type="dxa" w:w="5112"/>
            <w:vAlign w:val="center"/>
            <w:shd w:fill="1F4E78"/>
            <w:tcMar>
              <w:top w:w="90" w:type="dxa"/>
              <w:start w:w="90" w:type="dxa"/>
              <w:bottom w:w="90" w:type="dxa"/>
              <w:end w:w="90" w:type="dxa"/>
            </w:tcMar>
          </w:tcPr>
          <w:p>
            <w:pPr>
              <w:jc w:val="center"/>
            </w:pPr>
            <w:r>
              <w:rPr>
                <w:b/>
                <w:color w:val="FFFFFF"/>
                <w:sz w:val="18"/>
              </w:rPr>
              <w:t>Uso</w:t>
            </w:r>
          </w:p>
        </w:tc>
      </w:tr>
      <w:tr>
        <w:tc>
          <w:tcPr>
            <w:tcW w:type="dxa" w:w="3024"/>
            <w:vAlign w:val="center"/>
            <w:tcMar>
              <w:top w:w="90" w:type="dxa"/>
              <w:start w:w="90" w:type="dxa"/>
              <w:bottom w:w="90" w:type="dxa"/>
              <w:end w:w="90" w:type="dxa"/>
            </w:tcMar>
          </w:tcPr>
          <w:p>
            <w:pPr>
              <w:jc w:val="left"/>
            </w:pPr>
            <w:r>
              <w:rPr>
                <w:sz w:val="17"/>
              </w:rPr>
              <w:t>Entrenamiento</w:t>
            </w:r>
          </w:p>
        </w:tc>
        <w:tc>
          <w:tcPr>
            <w:tcW w:type="dxa" w:w="1872"/>
            <w:vAlign w:val="center"/>
            <w:tcMar>
              <w:top w:w="90" w:type="dxa"/>
              <w:start w:w="90" w:type="dxa"/>
              <w:bottom w:w="90" w:type="dxa"/>
              <w:end w:w="90" w:type="dxa"/>
            </w:tcMar>
          </w:tcPr>
          <w:p>
            <w:pPr>
              <w:jc w:val="center"/>
            </w:pPr>
            <w:r>
              <w:rPr>
                <w:sz w:val="17"/>
              </w:rPr>
              <w:t>48.000</w:t>
            </w:r>
          </w:p>
        </w:tc>
        <w:tc>
          <w:tcPr>
            <w:tcW w:type="dxa" w:w="5112"/>
            <w:vAlign w:val="center"/>
            <w:tcMar>
              <w:top w:w="90" w:type="dxa"/>
              <w:start w:w="90" w:type="dxa"/>
              <w:bottom w:w="90" w:type="dxa"/>
              <w:end w:w="90" w:type="dxa"/>
            </w:tcMar>
          </w:tcPr>
          <w:p>
            <w:pPr>
              <w:jc w:val="center"/>
            </w:pPr>
            <w:r>
              <w:rPr>
                <w:sz w:val="17"/>
              </w:rPr>
              <w:t>Ajuste de pesos</w:t>
            </w:r>
          </w:p>
        </w:tc>
      </w:tr>
      <w:tr>
        <w:tc>
          <w:tcPr>
            <w:tcW w:type="dxa" w:w="3024"/>
            <w:vAlign w:val="center"/>
            <w:tcMar>
              <w:top w:w="90" w:type="dxa"/>
              <w:start w:w="90" w:type="dxa"/>
              <w:bottom w:w="90" w:type="dxa"/>
              <w:end w:w="90" w:type="dxa"/>
            </w:tcMar>
            <w:shd w:fill="EAF2F8"/>
          </w:tcPr>
          <w:p>
            <w:pPr>
              <w:jc w:val="left"/>
            </w:pPr>
            <w:r>
              <w:rPr>
                <w:sz w:val="17"/>
              </w:rPr>
              <w:t>Validación</w:t>
            </w:r>
          </w:p>
        </w:tc>
        <w:tc>
          <w:tcPr>
            <w:tcW w:type="dxa" w:w="1872"/>
            <w:vAlign w:val="center"/>
            <w:tcMar>
              <w:top w:w="90" w:type="dxa"/>
              <w:start w:w="90" w:type="dxa"/>
              <w:bottom w:w="90" w:type="dxa"/>
              <w:end w:w="90" w:type="dxa"/>
            </w:tcMar>
            <w:shd w:fill="EAF2F8"/>
          </w:tcPr>
          <w:p>
            <w:pPr>
              <w:jc w:val="center"/>
            </w:pPr>
            <w:r>
              <w:rPr>
                <w:sz w:val="17"/>
              </w:rPr>
              <w:t>12.000</w:t>
            </w:r>
          </w:p>
        </w:tc>
        <w:tc>
          <w:tcPr>
            <w:tcW w:type="dxa" w:w="5112"/>
            <w:vAlign w:val="center"/>
            <w:tcMar>
              <w:top w:w="90" w:type="dxa"/>
              <w:start w:w="90" w:type="dxa"/>
              <w:bottom w:w="90" w:type="dxa"/>
              <w:end w:w="90" w:type="dxa"/>
            </w:tcMar>
            <w:shd w:fill="EAF2F8"/>
          </w:tcPr>
          <w:p>
            <w:pPr>
              <w:jc w:val="center"/>
            </w:pPr>
            <w:r>
              <w:rPr>
                <w:sz w:val="17"/>
              </w:rPr>
              <w:t>Selección del modelo</w:t>
            </w:r>
          </w:p>
        </w:tc>
      </w:tr>
      <w:tr>
        <w:tc>
          <w:tcPr>
            <w:tcW w:type="dxa" w:w="3024"/>
            <w:vAlign w:val="center"/>
            <w:tcMar>
              <w:top w:w="90" w:type="dxa"/>
              <w:start w:w="90" w:type="dxa"/>
              <w:bottom w:w="90" w:type="dxa"/>
              <w:end w:w="90" w:type="dxa"/>
            </w:tcMar>
          </w:tcPr>
          <w:p>
            <w:pPr>
              <w:jc w:val="left"/>
            </w:pPr>
            <w:r>
              <w:rPr>
                <w:sz w:val="17"/>
              </w:rPr>
              <w:t>Prueba</w:t>
            </w:r>
          </w:p>
        </w:tc>
        <w:tc>
          <w:tcPr>
            <w:tcW w:type="dxa" w:w="1872"/>
            <w:vAlign w:val="center"/>
            <w:tcMar>
              <w:top w:w="90" w:type="dxa"/>
              <w:start w:w="90" w:type="dxa"/>
              <w:bottom w:w="90" w:type="dxa"/>
              <w:end w:w="90" w:type="dxa"/>
            </w:tcMar>
          </w:tcPr>
          <w:p>
            <w:pPr>
              <w:jc w:val="center"/>
            </w:pPr>
            <w:r>
              <w:rPr>
                <w:sz w:val="17"/>
              </w:rPr>
              <w:t>10.000</w:t>
            </w:r>
          </w:p>
        </w:tc>
        <w:tc>
          <w:tcPr>
            <w:tcW w:type="dxa" w:w="5112"/>
            <w:vAlign w:val="center"/>
            <w:tcMar>
              <w:top w:w="90" w:type="dxa"/>
              <w:start w:w="90" w:type="dxa"/>
              <w:bottom w:w="90" w:type="dxa"/>
              <w:end w:w="90" w:type="dxa"/>
            </w:tcMar>
          </w:tcPr>
          <w:p>
            <w:pPr>
              <w:jc w:val="center"/>
            </w:pPr>
            <w:r>
              <w:rPr>
                <w:sz w:val="17"/>
              </w:rPr>
              <w:t>Evaluación final</w:t>
            </w:r>
          </w:p>
        </w:tc>
      </w:tr>
    </w:tbl>
    <w:p>
      <w:r>
        <w:t>Los valores de píxel se transformaron de [0, 255] a [0, 1] y se agregó el canal de profundidad, por lo que cada entrada tiene forma 28 x 28 x 1. Fashion-MNIST no publica identificadores de sujeto o procedencia; por eso los grupos representan lotes de origen y controlan el solapamiento de muestras, pero no permiten medir generalización entre personas.</w:t>
      </w:r>
    </w:p>
    <w:p>
      <w:pPr>
        <w:pStyle w:val="Heading1"/>
      </w:pPr>
      <w:r>
        <w:t>Fundamento matemático y arquitectura</w:t>
      </w:r>
    </w:p>
    <w:p>
      <w:r>
        <w:t>Cada capa Conv2D aplica filtros aprendibles de 3 x 3. En cada posición calcula la suma de productos entre el vecindario de entrada y los pesos del filtro, agrega un sesgo y aplica ReLU. El padding same conserva las dimensiones espaciales y el stride 1 examina todas las posiciones. MaxPooling de 2 x 2 reduce ancho y alto a la mitad y aporta tolerancia a desplazamientos pequeños.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c>
          <w:tcPr>
            <w:tcW w:type="dxa" w:w="3528"/>
            <w:vAlign w:val="center"/>
            <w:shd w:fill="1F4E78"/>
            <w:tcMar>
              <w:top w:w="90" w:type="dxa"/>
              <w:start w:w="90" w:type="dxa"/>
              <w:bottom w:w="90" w:type="dxa"/>
              <w:end w:w="90" w:type="dxa"/>
            </w:tcMar>
          </w:tcPr>
          <w:p>
            <w:pPr>
              <w:jc w:val="center"/>
            </w:pPr>
            <w:r>
              <w:rPr>
                <w:b/>
                <w:color w:val="FFFFFF"/>
                <w:sz w:val="18"/>
              </w:rPr>
              <w:t>Etapa del modelo elegido</w:t>
            </w:r>
          </w:p>
        </w:tc>
        <w:tc>
          <w:tcPr>
            <w:tcW w:type="dxa" w:w="2088"/>
            <w:vAlign w:val="center"/>
            <w:shd w:fill="1F4E78"/>
            <w:tcMar>
              <w:top w:w="90" w:type="dxa"/>
              <w:start w:w="90" w:type="dxa"/>
              <w:bottom w:w="90" w:type="dxa"/>
              <w:end w:w="90" w:type="dxa"/>
            </w:tcMar>
          </w:tcPr>
          <w:p>
            <w:pPr>
              <w:jc w:val="center"/>
            </w:pPr>
            <w:r>
              <w:rPr>
                <w:b/>
                <w:color w:val="FFFFFF"/>
                <w:sz w:val="18"/>
              </w:rPr>
              <w:t>Salida</w:t>
            </w:r>
          </w:p>
        </w:tc>
        <w:tc>
          <w:tcPr>
            <w:tcW w:type="dxa" w:w="4392"/>
            <w:vAlign w:val="center"/>
            <w:shd w:fill="1F4E78"/>
            <w:tcMar>
              <w:top w:w="90" w:type="dxa"/>
              <w:start w:w="90" w:type="dxa"/>
              <w:bottom w:w="90" w:type="dxa"/>
              <w:end w:w="90" w:type="dxa"/>
            </w:tcMar>
          </w:tcPr>
          <w:p>
            <w:pPr>
              <w:jc w:val="center"/>
            </w:pPr>
            <w:r>
              <w:rPr>
                <w:b/>
                <w:color w:val="FFFFFF"/>
                <w:sz w:val="18"/>
              </w:rPr>
              <w:t>Propósito</w:t>
            </w:r>
          </w:p>
        </w:tc>
      </w:tr>
      <w:tr>
        <w:tc>
          <w:tcPr>
            <w:tcW w:type="dxa" w:w="3528"/>
            <w:vAlign w:val="center"/>
            <w:tcMar>
              <w:top w:w="90" w:type="dxa"/>
              <w:start w:w="90" w:type="dxa"/>
              <w:bottom w:w="90" w:type="dxa"/>
              <w:end w:w="90" w:type="dxa"/>
            </w:tcMar>
          </w:tcPr>
          <w:p>
            <w:pPr>
              <w:jc w:val="left"/>
            </w:pPr>
            <w:r>
              <w:rPr>
                <w:sz w:val="17"/>
              </w:rPr>
              <w:t>Entrada</w:t>
            </w:r>
          </w:p>
        </w:tc>
        <w:tc>
          <w:tcPr>
            <w:tcW w:type="dxa" w:w="2088"/>
            <w:vAlign w:val="center"/>
            <w:tcMar>
              <w:top w:w="90" w:type="dxa"/>
              <w:start w:w="90" w:type="dxa"/>
              <w:bottom w:w="90" w:type="dxa"/>
              <w:end w:w="90" w:type="dxa"/>
            </w:tcMar>
          </w:tcPr>
          <w:p>
            <w:pPr>
              <w:jc w:val="center"/>
            </w:pPr>
            <w:r>
              <w:rPr>
                <w:sz w:val="17"/>
              </w:rPr>
              <w:t>28 x 28 x 1</w:t>
            </w:r>
          </w:p>
        </w:tc>
        <w:tc>
          <w:tcPr>
            <w:tcW w:type="dxa" w:w="4392"/>
            <w:vAlign w:val="center"/>
            <w:tcMar>
              <w:top w:w="90" w:type="dxa"/>
              <w:start w:w="90" w:type="dxa"/>
              <w:bottom w:w="90" w:type="dxa"/>
              <w:end w:w="90" w:type="dxa"/>
            </w:tcMar>
          </w:tcPr>
          <w:p>
            <w:pPr>
              <w:jc w:val="center"/>
            </w:pPr>
            <w:r>
              <w:rPr>
                <w:sz w:val="17"/>
              </w:rPr>
              <w:t>Imagen normalizada</w:t>
            </w:r>
          </w:p>
        </w:tc>
      </w:tr>
      <w:tr>
        <w:tc>
          <w:tcPr>
            <w:tcW w:type="dxa" w:w="3528"/>
            <w:vAlign w:val="center"/>
            <w:tcMar>
              <w:top w:w="90" w:type="dxa"/>
              <w:start w:w="90" w:type="dxa"/>
              <w:bottom w:w="90" w:type="dxa"/>
              <w:end w:w="90" w:type="dxa"/>
            </w:tcMar>
            <w:shd w:fill="EAF2F8"/>
          </w:tcPr>
          <w:p>
            <w:pPr>
              <w:jc w:val="left"/>
            </w:pPr>
            <w:r>
              <w:rPr>
                <w:sz w:val="17"/>
              </w:rPr>
              <w:t>Conv2D 32 y ReLU</w:t>
            </w:r>
          </w:p>
        </w:tc>
        <w:tc>
          <w:tcPr>
            <w:tcW w:type="dxa" w:w="2088"/>
            <w:vAlign w:val="center"/>
            <w:tcMar>
              <w:top w:w="90" w:type="dxa"/>
              <w:start w:w="90" w:type="dxa"/>
              <w:bottom w:w="90" w:type="dxa"/>
              <w:end w:w="90" w:type="dxa"/>
            </w:tcMar>
            <w:shd w:fill="EAF2F8"/>
          </w:tcPr>
          <w:p>
            <w:pPr>
              <w:jc w:val="center"/>
            </w:pPr>
            <w:r>
              <w:rPr>
                <w:sz w:val="17"/>
              </w:rPr>
              <w:t>28 x 28 x 32</w:t>
            </w:r>
          </w:p>
        </w:tc>
        <w:tc>
          <w:tcPr>
            <w:tcW w:type="dxa" w:w="4392"/>
            <w:vAlign w:val="center"/>
            <w:tcMar>
              <w:top w:w="90" w:type="dxa"/>
              <w:start w:w="90" w:type="dxa"/>
              <w:bottom w:w="90" w:type="dxa"/>
              <w:end w:w="90" w:type="dxa"/>
            </w:tcMar>
            <w:shd w:fill="EAF2F8"/>
          </w:tcPr>
          <w:p>
            <w:pPr>
              <w:jc w:val="center"/>
            </w:pPr>
            <w:r>
              <w:rPr>
                <w:sz w:val="17"/>
              </w:rPr>
              <w:t>Bordes y texturas locales</w:t>
            </w:r>
          </w:p>
        </w:tc>
      </w:tr>
      <w:tr>
        <w:tc>
          <w:tcPr>
            <w:tcW w:type="dxa" w:w="3528"/>
            <w:vAlign w:val="center"/>
            <w:tcMar>
              <w:top w:w="90" w:type="dxa"/>
              <w:start w:w="90" w:type="dxa"/>
              <w:bottom w:w="90" w:type="dxa"/>
              <w:end w:w="90" w:type="dxa"/>
            </w:tcMar>
          </w:tcPr>
          <w:p>
            <w:pPr>
              <w:jc w:val="left"/>
            </w:pPr>
            <w:r>
              <w:rPr>
                <w:sz w:val="17"/>
              </w:rPr>
              <w:t>MaxPooling</w:t>
            </w:r>
          </w:p>
        </w:tc>
        <w:tc>
          <w:tcPr>
            <w:tcW w:type="dxa" w:w="2088"/>
            <w:vAlign w:val="center"/>
            <w:tcMar>
              <w:top w:w="90" w:type="dxa"/>
              <w:start w:w="90" w:type="dxa"/>
              <w:bottom w:w="90" w:type="dxa"/>
              <w:end w:w="90" w:type="dxa"/>
            </w:tcMar>
          </w:tcPr>
          <w:p>
            <w:pPr>
              <w:jc w:val="center"/>
            </w:pPr>
            <w:r>
              <w:rPr>
                <w:sz w:val="17"/>
              </w:rPr>
              <w:t>14 x 14 x 32</w:t>
            </w:r>
          </w:p>
        </w:tc>
        <w:tc>
          <w:tcPr>
            <w:tcW w:type="dxa" w:w="4392"/>
            <w:vAlign w:val="center"/>
            <w:tcMar>
              <w:top w:w="90" w:type="dxa"/>
              <w:start w:w="90" w:type="dxa"/>
              <w:bottom w:w="90" w:type="dxa"/>
              <w:end w:w="90" w:type="dxa"/>
            </w:tcMar>
          </w:tcPr>
          <w:p>
            <w:pPr>
              <w:jc w:val="center"/>
            </w:pPr>
            <w:r>
              <w:rPr>
                <w:sz w:val="17"/>
              </w:rPr>
              <w:t>Reducción espacial</w:t>
            </w:r>
          </w:p>
        </w:tc>
      </w:tr>
      <w:tr>
        <w:tc>
          <w:tcPr>
            <w:tcW w:type="dxa" w:w="3528"/>
            <w:vAlign w:val="center"/>
            <w:tcMar>
              <w:top w:w="90" w:type="dxa"/>
              <w:start w:w="90" w:type="dxa"/>
              <w:bottom w:w="90" w:type="dxa"/>
              <w:end w:w="90" w:type="dxa"/>
            </w:tcMar>
            <w:shd w:fill="EAF2F8"/>
          </w:tcPr>
          <w:p>
            <w:pPr>
              <w:jc w:val="left"/>
            </w:pPr>
            <w:r>
              <w:rPr>
                <w:sz w:val="17"/>
              </w:rPr>
              <w:t>Conv2D 64 y ReLU</w:t>
            </w:r>
          </w:p>
        </w:tc>
        <w:tc>
          <w:tcPr>
            <w:tcW w:type="dxa" w:w="2088"/>
            <w:vAlign w:val="center"/>
            <w:tcMar>
              <w:top w:w="90" w:type="dxa"/>
              <w:start w:w="90" w:type="dxa"/>
              <w:bottom w:w="90" w:type="dxa"/>
              <w:end w:w="90" w:type="dxa"/>
            </w:tcMar>
            <w:shd w:fill="EAF2F8"/>
          </w:tcPr>
          <w:p>
            <w:pPr>
              <w:jc w:val="center"/>
            </w:pPr>
            <w:r>
              <w:rPr>
                <w:sz w:val="17"/>
              </w:rPr>
              <w:t>14 x 14 x 64</w:t>
            </w:r>
          </w:p>
        </w:tc>
        <w:tc>
          <w:tcPr>
            <w:tcW w:type="dxa" w:w="4392"/>
            <w:vAlign w:val="center"/>
            <w:tcMar>
              <w:top w:w="90" w:type="dxa"/>
              <w:start w:w="90" w:type="dxa"/>
              <w:bottom w:w="90" w:type="dxa"/>
              <w:end w:w="90" w:type="dxa"/>
            </w:tcMar>
            <w:shd w:fill="EAF2F8"/>
          </w:tcPr>
          <w:p>
            <w:pPr>
              <w:jc w:val="center"/>
            </w:pPr>
            <w:r>
              <w:rPr>
                <w:sz w:val="17"/>
              </w:rPr>
              <w:t>Patrones de mayor nivel</w:t>
            </w:r>
          </w:p>
        </w:tc>
      </w:tr>
      <w:tr>
        <w:tc>
          <w:tcPr>
            <w:tcW w:type="dxa" w:w="3528"/>
            <w:vAlign w:val="center"/>
            <w:tcMar>
              <w:top w:w="90" w:type="dxa"/>
              <w:start w:w="90" w:type="dxa"/>
              <w:bottom w:w="90" w:type="dxa"/>
              <w:end w:w="90" w:type="dxa"/>
            </w:tcMar>
          </w:tcPr>
          <w:p>
            <w:pPr>
              <w:jc w:val="left"/>
            </w:pPr>
            <w:r>
              <w:rPr>
                <w:sz w:val="17"/>
              </w:rPr>
              <w:t>MaxPooling</w:t>
            </w:r>
          </w:p>
        </w:tc>
        <w:tc>
          <w:tcPr>
            <w:tcW w:type="dxa" w:w="2088"/>
            <w:vAlign w:val="center"/>
            <w:tcMar>
              <w:top w:w="90" w:type="dxa"/>
              <w:start w:w="90" w:type="dxa"/>
              <w:bottom w:w="90" w:type="dxa"/>
              <w:end w:w="90" w:type="dxa"/>
            </w:tcMar>
          </w:tcPr>
          <w:p>
            <w:pPr>
              <w:jc w:val="center"/>
            </w:pPr>
            <w:r>
              <w:rPr>
                <w:sz w:val="17"/>
              </w:rPr>
              <w:t>7 x 7 x 64</w:t>
            </w:r>
          </w:p>
        </w:tc>
        <w:tc>
          <w:tcPr>
            <w:tcW w:type="dxa" w:w="4392"/>
            <w:vAlign w:val="center"/>
            <w:tcMar>
              <w:top w:w="90" w:type="dxa"/>
              <w:start w:w="90" w:type="dxa"/>
              <w:bottom w:w="90" w:type="dxa"/>
              <w:end w:w="90" w:type="dxa"/>
            </w:tcMar>
          </w:tcPr>
          <w:p>
            <w:pPr>
              <w:jc w:val="center"/>
            </w:pPr>
            <w:r>
              <w:rPr>
                <w:sz w:val="17"/>
              </w:rPr>
              <w:t>Síntesis de características</w:t>
            </w:r>
          </w:p>
        </w:tc>
      </w:tr>
      <w:tr>
        <w:tc>
          <w:tcPr>
            <w:tcW w:type="dxa" w:w="3528"/>
            <w:vAlign w:val="center"/>
            <w:tcMar>
              <w:top w:w="90" w:type="dxa"/>
              <w:start w:w="90" w:type="dxa"/>
              <w:bottom w:w="90" w:type="dxa"/>
              <w:end w:w="90" w:type="dxa"/>
            </w:tcMar>
            <w:shd w:fill="EAF2F8"/>
          </w:tcPr>
          <w:p>
            <w:pPr>
              <w:jc w:val="left"/>
            </w:pPr>
            <w:r>
              <w:rPr>
                <w:sz w:val="17"/>
              </w:rPr>
              <w:t>Flatten y Dense 128</w:t>
            </w:r>
          </w:p>
        </w:tc>
        <w:tc>
          <w:tcPr>
            <w:tcW w:type="dxa" w:w="2088"/>
            <w:vAlign w:val="center"/>
            <w:tcMar>
              <w:top w:w="90" w:type="dxa"/>
              <w:start w:w="90" w:type="dxa"/>
              <w:bottom w:w="90" w:type="dxa"/>
              <w:end w:w="90" w:type="dxa"/>
            </w:tcMar>
            <w:shd w:fill="EAF2F8"/>
          </w:tcPr>
          <w:p>
            <w:pPr>
              <w:jc w:val="center"/>
            </w:pPr>
            <w:r>
              <w:rPr>
                <w:sz w:val="17"/>
              </w:rPr>
              <w:t>128</w:t>
            </w:r>
          </w:p>
        </w:tc>
        <w:tc>
          <w:tcPr>
            <w:tcW w:type="dxa" w:w="4392"/>
            <w:vAlign w:val="center"/>
            <w:tcMar>
              <w:top w:w="90" w:type="dxa"/>
              <w:start w:w="90" w:type="dxa"/>
              <w:bottom w:w="90" w:type="dxa"/>
              <w:end w:w="90" w:type="dxa"/>
            </w:tcMar>
            <w:shd w:fill="EAF2F8"/>
          </w:tcPr>
          <w:p>
            <w:pPr>
              <w:jc w:val="center"/>
            </w:pPr>
            <w:r>
              <w:rPr>
                <w:sz w:val="17"/>
              </w:rPr>
              <w:t>Integración global</w:t>
            </w:r>
          </w:p>
        </w:tc>
      </w:tr>
      <w:tr>
        <w:tc>
          <w:tcPr>
            <w:tcW w:type="dxa" w:w="3528"/>
            <w:vAlign w:val="center"/>
            <w:tcMar>
              <w:top w:w="90" w:type="dxa"/>
              <w:start w:w="90" w:type="dxa"/>
              <w:bottom w:w="90" w:type="dxa"/>
              <w:end w:w="90" w:type="dxa"/>
            </w:tcMar>
          </w:tcPr>
          <w:p>
            <w:pPr>
              <w:jc w:val="left"/>
            </w:pPr>
            <w:r>
              <w:rPr>
                <w:sz w:val="17"/>
              </w:rPr>
              <w:t>Dense y Softmax</w:t>
            </w:r>
          </w:p>
        </w:tc>
        <w:tc>
          <w:tcPr>
            <w:tcW w:type="dxa" w:w="2088"/>
            <w:vAlign w:val="center"/>
            <w:tcMar>
              <w:top w:w="90" w:type="dxa"/>
              <w:start w:w="90" w:type="dxa"/>
              <w:bottom w:w="90" w:type="dxa"/>
              <w:end w:w="90" w:type="dxa"/>
            </w:tcMar>
          </w:tcPr>
          <w:p>
            <w:pPr>
              <w:jc w:val="center"/>
            </w:pPr>
            <w:r>
              <w:rPr>
                <w:sz w:val="17"/>
              </w:rPr>
              <w:t>10</w:t>
            </w:r>
          </w:p>
        </w:tc>
        <w:tc>
          <w:tcPr>
            <w:tcW w:type="dxa" w:w="4392"/>
            <w:vAlign w:val="center"/>
            <w:tcMar>
              <w:top w:w="90" w:type="dxa"/>
              <w:start w:w="90" w:type="dxa"/>
              <w:bottom w:w="90" w:type="dxa"/>
              <w:end w:w="90" w:type="dxa"/>
            </w:tcMar>
          </w:tcPr>
          <w:p>
            <w:pPr>
              <w:jc w:val="center"/>
            </w:pPr>
            <w:r>
              <w:rPr>
                <w:sz w:val="17"/>
              </w:rPr>
              <w:t>Probabilidad por clase</w:t>
            </w:r>
          </w:p>
        </w:tc>
      </w:tr>
    </w:tbl>
    <w:p>
      <w:r>
        <w:br w:type="page"/>
      </w:r>
    </w:p>
    <w:p>
      <w:pPr>
        <w:pStyle w:val="Heading1"/>
      </w:pPr>
      <w:r>
        <w:t>Entrenamiento y control del ajuste</w:t>
      </w:r>
    </w:p>
    <w:p>
      <w:r>
        <w:t>Los tres modelos se entrenaron durante un máximo de diez épocas, con lotes de 128 imágenes. Adam utilizó un learning rate inicial de 0,001 y la función de pérdida fue sparse categorical cross-entropy. EarlyStopping restauró los mejores pesos, ReduceLROnPlateau redujo el learning rate ante estancamiento y ModelCheckpoint conservó la menor pérdida de validación.</w:t>
      </w:r>
    </w:p>
    <w:p>
      <w:pPr>
        <w:pStyle w:val="Heading1"/>
      </w:pPr>
      <w:r>
        <w:t>Comparación experimental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94"/>
        <w:gridCol w:w="1694"/>
        <w:gridCol w:w="1694"/>
        <w:gridCol w:w="1694"/>
        <w:gridCol w:w="1694"/>
        <w:gridCol w:w="1694"/>
      </w:tblGrid>
      <w:tr>
        <w:tc>
          <w:tcPr>
            <w:tcW w:type="dxa" w:w="2088"/>
            <w:vAlign w:val="center"/>
            <w:shd w:fill="1F4E78"/>
            <w:tcMar>
              <w:top w:w="90" w:type="dxa"/>
              <w:start w:w="90" w:type="dxa"/>
              <w:bottom w:w="90" w:type="dxa"/>
              <w:end w:w="90" w:type="dxa"/>
            </w:tcMar>
          </w:tcPr>
          <w:p>
            <w:pPr>
              <w:jc w:val="center"/>
            </w:pPr>
            <w:r>
              <w:rPr>
                <w:b/>
                <w:color w:val="FFFFFF"/>
                <w:sz w:val="18"/>
              </w:rPr>
              <w:t>Modelo</w:t>
            </w:r>
          </w:p>
        </w:tc>
        <w:tc>
          <w:tcPr>
            <w:tcW w:type="dxa" w:w="1512"/>
            <w:vAlign w:val="center"/>
            <w:shd w:fill="1F4E78"/>
            <w:tcMar>
              <w:top w:w="90" w:type="dxa"/>
              <w:start w:w="90" w:type="dxa"/>
              <w:bottom w:w="90" w:type="dxa"/>
              <w:end w:w="90" w:type="dxa"/>
            </w:tcMar>
          </w:tcPr>
          <w:p>
            <w:pPr>
              <w:jc w:val="center"/>
            </w:pPr>
            <w:r>
              <w:rPr>
                <w:b/>
                <w:color w:val="FFFFFF"/>
                <w:sz w:val="18"/>
              </w:rPr>
              <w:t>Parámetros</w:t>
            </w:r>
          </w:p>
        </w:tc>
        <w:tc>
          <w:tcPr>
            <w:tcW w:type="dxa" w:w="936"/>
            <w:vAlign w:val="center"/>
            <w:shd w:fill="1F4E78"/>
            <w:tcMar>
              <w:top w:w="90" w:type="dxa"/>
              <w:start w:w="90" w:type="dxa"/>
              <w:bottom w:w="90" w:type="dxa"/>
              <w:end w:w="90" w:type="dxa"/>
            </w:tcMar>
          </w:tcPr>
          <w:p>
            <w:pPr>
              <w:jc w:val="center"/>
            </w:pPr>
            <w:r>
              <w:rPr>
                <w:b/>
                <w:color w:val="FFFFFF"/>
                <w:sz w:val="18"/>
              </w:rPr>
              <w:t>Época</w:t>
            </w:r>
          </w:p>
        </w:tc>
        <w:tc>
          <w:tcPr>
            <w:tcW w:type="dxa" w:w="1656"/>
            <w:vAlign w:val="center"/>
            <w:shd w:fill="1F4E78"/>
            <w:tcMar>
              <w:top w:w="90" w:type="dxa"/>
              <w:start w:w="90" w:type="dxa"/>
              <w:bottom w:w="90" w:type="dxa"/>
              <w:end w:w="90" w:type="dxa"/>
            </w:tcMar>
          </w:tcPr>
          <w:p>
            <w:pPr>
              <w:jc w:val="center"/>
            </w:pPr>
            <w:r>
              <w:rPr>
                <w:b/>
                <w:color w:val="FFFFFF"/>
                <w:sz w:val="18"/>
              </w:rPr>
              <w:t>Train acc</w:t>
            </w:r>
          </w:p>
        </w:tc>
        <w:tc>
          <w:tcPr>
            <w:tcW w:type="dxa" w:w="1656"/>
            <w:vAlign w:val="center"/>
            <w:shd w:fill="1F4E78"/>
            <w:tcMar>
              <w:top w:w="90" w:type="dxa"/>
              <w:start w:w="90" w:type="dxa"/>
              <w:bottom w:w="90" w:type="dxa"/>
              <w:end w:w="90" w:type="dxa"/>
            </w:tcMar>
          </w:tcPr>
          <w:p>
            <w:pPr>
              <w:jc w:val="center"/>
            </w:pPr>
            <w:r>
              <w:rPr>
                <w:b/>
                <w:color w:val="FFFFFF"/>
                <w:sz w:val="18"/>
              </w:rPr>
              <w:t>Val acc</w:t>
            </w:r>
          </w:p>
        </w:tc>
        <w:tc>
          <w:tcPr>
            <w:tcW w:type="dxa" w:w="1512"/>
            <w:vAlign w:val="center"/>
            <w:shd w:fill="1F4E78"/>
            <w:tcMar>
              <w:top w:w="90" w:type="dxa"/>
              <w:start w:w="90" w:type="dxa"/>
              <w:bottom w:w="90" w:type="dxa"/>
              <w:end w:w="90" w:type="dxa"/>
            </w:tcMar>
          </w:tcPr>
          <w:p>
            <w:pPr>
              <w:jc w:val="center"/>
            </w:pPr>
            <w:r>
              <w:rPr>
                <w:b/>
                <w:color w:val="FFFFFF"/>
                <w:sz w:val="18"/>
              </w:rPr>
              <w:t>Val loss</w:t>
            </w:r>
          </w:p>
        </w:tc>
      </w:tr>
      <w:tr>
        <w:tc>
          <w:tcPr>
            <w:tcW w:type="dxa" w:w="2088"/>
            <w:vAlign w:val="center"/>
            <w:tcMar>
              <w:top w:w="90" w:type="dxa"/>
              <w:start w:w="90" w:type="dxa"/>
              <w:bottom w:w="90" w:type="dxa"/>
              <w:end w:w="90" w:type="dxa"/>
            </w:tcMar>
          </w:tcPr>
          <w:p>
            <w:pPr>
              <w:jc w:val="left"/>
            </w:pPr>
            <w:r>
              <w:rPr>
                <w:sz w:val="17"/>
              </w:rPr>
              <w:t>Base</w:t>
            </w:r>
          </w:p>
        </w:tc>
        <w:tc>
          <w:tcPr>
            <w:tcW w:type="dxa" w:w="1512"/>
            <w:vAlign w:val="center"/>
            <w:tcMar>
              <w:top w:w="90" w:type="dxa"/>
              <w:start w:w="90" w:type="dxa"/>
              <w:bottom w:w="90" w:type="dxa"/>
              <w:end w:w="90" w:type="dxa"/>
            </w:tcMar>
          </w:tcPr>
          <w:p>
            <w:pPr>
              <w:jc w:val="center"/>
            </w:pPr>
            <w:r>
              <w:rPr>
                <w:sz w:val="17"/>
              </w:rPr>
              <w:t>421.642</w:t>
            </w:r>
          </w:p>
        </w:tc>
        <w:tc>
          <w:tcPr>
            <w:tcW w:type="dxa" w:w="936"/>
            <w:vAlign w:val="center"/>
            <w:tcMar>
              <w:top w:w="90" w:type="dxa"/>
              <w:start w:w="90" w:type="dxa"/>
              <w:bottom w:w="90" w:type="dxa"/>
              <w:end w:w="90" w:type="dxa"/>
            </w:tcMar>
          </w:tcPr>
          <w:p>
            <w:pPr>
              <w:jc w:val="center"/>
            </w:pPr>
            <w:r>
              <w:rPr>
                <w:sz w:val="17"/>
              </w:rPr>
              <w:t>7</w:t>
            </w:r>
          </w:p>
        </w:tc>
        <w:tc>
          <w:tcPr>
            <w:tcW w:type="dxa" w:w="1656"/>
            <w:vAlign w:val="center"/>
            <w:tcMar>
              <w:top w:w="90" w:type="dxa"/>
              <w:start w:w="90" w:type="dxa"/>
              <w:bottom w:w="90" w:type="dxa"/>
              <w:end w:w="90" w:type="dxa"/>
            </w:tcMar>
          </w:tcPr>
          <w:p>
            <w:pPr>
              <w:jc w:val="center"/>
            </w:pPr>
            <w:r>
              <w:rPr>
                <w:sz w:val="17"/>
              </w:rPr>
              <w:t>93.47 %</w:t>
            </w:r>
          </w:p>
        </w:tc>
        <w:tc>
          <w:tcPr>
            <w:tcW w:type="dxa" w:w="1656"/>
            <w:vAlign w:val="center"/>
            <w:tcMar>
              <w:top w:w="90" w:type="dxa"/>
              <w:start w:w="90" w:type="dxa"/>
              <w:bottom w:w="90" w:type="dxa"/>
              <w:end w:w="90" w:type="dxa"/>
            </w:tcMar>
          </w:tcPr>
          <w:p>
            <w:pPr>
              <w:jc w:val="center"/>
            </w:pPr>
            <w:r>
              <w:rPr>
                <w:sz w:val="17"/>
              </w:rPr>
              <w:t>92.03 %</w:t>
            </w:r>
          </w:p>
        </w:tc>
        <w:tc>
          <w:tcPr>
            <w:tcW w:type="dxa" w:w="1512"/>
            <w:vAlign w:val="center"/>
            <w:tcMar>
              <w:top w:w="90" w:type="dxa"/>
              <w:start w:w="90" w:type="dxa"/>
              <w:bottom w:w="90" w:type="dxa"/>
              <w:end w:w="90" w:type="dxa"/>
            </w:tcMar>
          </w:tcPr>
          <w:p>
            <w:pPr>
              <w:jc w:val="center"/>
            </w:pPr>
            <w:r>
              <w:rPr>
                <w:sz w:val="17"/>
              </w:rPr>
              <w:t>0.2229</w:t>
            </w:r>
          </w:p>
        </w:tc>
      </w:tr>
      <w:tr>
        <w:tc>
          <w:tcPr>
            <w:tcW w:type="dxa" w:w="2088"/>
            <w:vAlign w:val="center"/>
            <w:tcMar>
              <w:top w:w="90" w:type="dxa"/>
              <w:start w:w="90" w:type="dxa"/>
              <w:bottom w:w="90" w:type="dxa"/>
              <w:end w:w="90" w:type="dxa"/>
            </w:tcMar>
            <w:shd w:fill="EAF2F8"/>
          </w:tcPr>
          <w:p>
            <w:pPr>
              <w:jc w:val="left"/>
            </w:pPr>
            <w:r>
              <w:rPr>
                <w:sz w:val="17"/>
              </w:rPr>
              <w:t>Regularizada</w:t>
            </w:r>
          </w:p>
        </w:tc>
        <w:tc>
          <w:tcPr>
            <w:tcW w:type="dxa" w:w="1512"/>
            <w:vAlign w:val="center"/>
            <w:tcMar>
              <w:top w:w="90" w:type="dxa"/>
              <w:start w:w="90" w:type="dxa"/>
              <w:bottom w:w="90" w:type="dxa"/>
              <w:end w:w="90" w:type="dxa"/>
            </w:tcMar>
            <w:shd w:fill="EAF2F8"/>
          </w:tcPr>
          <w:p>
            <w:pPr>
              <w:jc w:val="center"/>
            </w:pPr>
            <w:r>
              <w:rPr>
                <w:sz w:val="17"/>
              </w:rPr>
              <w:t>94.346</w:t>
            </w:r>
          </w:p>
        </w:tc>
        <w:tc>
          <w:tcPr>
            <w:tcW w:type="dxa" w:w="936"/>
            <w:vAlign w:val="center"/>
            <w:tcMar>
              <w:top w:w="90" w:type="dxa"/>
              <w:start w:w="90" w:type="dxa"/>
              <w:bottom w:w="90" w:type="dxa"/>
              <w:end w:w="90" w:type="dxa"/>
            </w:tcMar>
            <w:shd w:fill="EAF2F8"/>
          </w:tcPr>
          <w:p>
            <w:pPr>
              <w:jc w:val="center"/>
            </w:pPr>
            <w:r>
              <w:rPr>
                <w:sz w:val="17"/>
              </w:rPr>
              <w:t>9</w:t>
            </w:r>
          </w:p>
        </w:tc>
        <w:tc>
          <w:tcPr>
            <w:tcW w:type="dxa" w:w="1656"/>
            <w:vAlign w:val="center"/>
            <w:tcMar>
              <w:top w:w="90" w:type="dxa"/>
              <w:start w:w="90" w:type="dxa"/>
              <w:bottom w:w="90" w:type="dxa"/>
              <w:end w:w="90" w:type="dxa"/>
            </w:tcMar>
            <w:shd w:fill="EAF2F8"/>
          </w:tcPr>
          <w:p>
            <w:pPr>
              <w:jc w:val="center"/>
            </w:pPr>
            <w:r>
              <w:rPr>
                <w:sz w:val="17"/>
              </w:rPr>
              <w:t>89.00 %</w:t>
            </w:r>
          </w:p>
        </w:tc>
        <w:tc>
          <w:tcPr>
            <w:tcW w:type="dxa" w:w="1656"/>
            <w:vAlign w:val="center"/>
            <w:tcMar>
              <w:top w:w="90" w:type="dxa"/>
              <w:start w:w="90" w:type="dxa"/>
              <w:bottom w:w="90" w:type="dxa"/>
              <w:end w:w="90" w:type="dxa"/>
            </w:tcMar>
            <w:shd w:fill="EAF2F8"/>
          </w:tcPr>
          <w:p>
            <w:pPr>
              <w:jc w:val="center"/>
            </w:pPr>
            <w:r>
              <w:rPr>
                <w:sz w:val="17"/>
              </w:rPr>
              <w:t>89.39 %</w:t>
            </w:r>
          </w:p>
        </w:tc>
        <w:tc>
          <w:tcPr>
            <w:tcW w:type="dxa" w:w="1512"/>
            <w:vAlign w:val="center"/>
            <w:tcMar>
              <w:top w:w="90" w:type="dxa"/>
              <w:start w:w="90" w:type="dxa"/>
              <w:bottom w:w="90" w:type="dxa"/>
              <w:end w:w="90" w:type="dxa"/>
            </w:tcMar>
            <w:shd w:fill="EAF2F8"/>
          </w:tcPr>
          <w:p>
            <w:pPr>
              <w:jc w:val="center"/>
            </w:pPr>
            <w:r>
              <w:rPr>
                <w:sz w:val="17"/>
              </w:rPr>
              <w:t>0.2968</w:t>
            </w:r>
          </w:p>
        </w:tc>
      </w:tr>
      <w:tr>
        <w:tc>
          <w:tcPr>
            <w:tcW w:type="dxa" w:w="2088"/>
            <w:vAlign w:val="center"/>
            <w:tcMar>
              <w:top w:w="90" w:type="dxa"/>
              <w:start w:w="90" w:type="dxa"/>
              <w:bottom w:w="90" w:type="dxa"/>
              <w:end w:w="90" w:type="dxa"/>
            </w:tcMar>
          </w:tcPr>
          <w:p>
            <w:pPr>
              <w:jc w:val="left"/>
            </w:pPr>
            <w:r>
              <w:rPr>
                <w:sz w:val="17"/>
              </w:rPr>
              <w:t>Mayor capacidad</w:t>
            </w:r>
          </w:p>
        </w:tc>
        <w:tc>
          <w:tcPr>
            <w:tcW w:type="dxa" w:w="1512"/>
            <w:vAlign w:val="center"/>
            <w:tcMar>
              <w:top w:w="90" w:type="dxa"/>
              <w:start w:w="90" w:type="dxa"/>
              <w:bottom w:w="90" w:type="dxa"/>
              <w:end w:w="90" w:type="dxa"/>
            </w:tcMar>
          </w:tcPr>
          <w:p>
            <w:pPr>
              <w:jc w:val="center"/>
            </w:pPr>
            <w:r>
              <w:rPr>
                <w:sz w:val="17"/>
              </w:rPr>
              <w:t>250.058</w:t>
            </w:r>
          </w:p>
        </w:tc>
        <w:tc>
          <w:tcPr>
            <w:tcW w:type="dxa" w:w="936"/>
            <w:vAlign w:val="center"/>
            <w:tcMar>
              <w:top w:w="90" w:type="dxa"/>
              <w:start w:w="90" w:type="dxa"/>
              <w:bottom w:w="90" w:type="dxa"/>
              <w:end w:w="90" w:type="dxa"/>
            </w:tcMar>
          </w:tcPr>
          <w:p>
            <w:pPr>
              <w:jc w:val="center"/>
            </w:pPr>
            <w:r>
              <w:rPr>
                <w:sz w:val="17"/>
              </w:rPr>
              <w:t>9</w:t>
            </w:r>
          </w:p>
        </w:tc>
        <w:tc>
          <w:tcPr>
            <w:tcW w:type="dxa" w:w="1656"/>
            <w:vAlign w:val="center"/>
            <w:tcMar>
              <w:top w:w="90" w:type="dxa"/>
              <w:start w:w="90" w:type="dxa"/>
              <w:bottom w:w="90" w:type="dxa"/>
              <w:end w:w="90" w:type="dxa"/>
            </w:tcMar>
          </w:tcPr>
          <w:p>
            <w:pPr>
              <w:jc w:val="center"/>
            </w:pPr>
            <w:r>
              <w:rPr>
                <w:sz w:val="17"/>
              </w:rPr>
              <w:t>90.13 %</w:t>
            </w:r>
          </w:p>
        </w:tc>
        <w:tc>
          <w:tcPr>
            <w:tcW w:type="dxa" w:w="1656"/>
            <w:vAlign w:val="center"/>
            <w:tcMar>
              <w:top w:w="90" w:type="dxa"/>
              <w:start w:w="90" w:type="dxa"/>
              <w:bottom w:w="90" w:type="dxa"/>
              <w:end w:w="90" w:type="dxa"/>
            </w:tcMar>
          </w:tcPr>
          <w:p>
            <w:pPr>
              <w:jc w:val="center"/>
            </w:pPr>
            <w:r>
              <w:rPr>
                <w:sz w:val="17"/>
              </w:rPr>
              <w:t>89.40 %</w:t>
            </w:r>
          </w:p>
        </w:tc>
        <w:tc>
          <w:tcPr>
            <w:tcW w:type="dxa" w:w="1512"/>
            <w:vAlign w:val="center"/>
            <w:tcMar>
              <w:top w:w="90" w:type="dxa"/>
              <w:start w:w="90" w:type="dxa"/>
              <w:bottom w:w="90" w:type="dxa"/>
              <w:end w:w="90" w:type="dxa"/>
            </w:tcMar>
          </w:tcPr>
          <w:p>
            <w:pPr>
              <w:jc w:val="center"/>
            </w:pPr>
            <w:r>
              <w:rPr>
                <w:sz w:val="17"/>
              </w:rPr>
              <w:t>0.2987</w:t>
            </w:r>
          </w:p>
        </w:tc>
      </w:tr>
    </w:tbl>
    <w:p>
      <w:pPr>
        <w:spacing w:before="120"/>
        <w:jc w:val="center"/>
      </w:pPr>
      <w:r>
        <w:drawing>
          <wp:inline xmlns:a="http://schemas.openxmlformats.org/drawingml/2006/main" xmlns:pic="http://schemas.openxmlformats.org/drawingml/2006/picture">
            <wp:extent cx="5349240" cy="3008948"/>
            <wp:docPr id="1" name="Picture 1"/>
            <wp:cNvGraphicFramePr>
              <a:graphicFrameLocks noChangeAspect="1"/>
            </wp:cNvGraphicFramePr>
            <a:graphic>
              <a:graphicData uri="http://schemas.openxmlformats.org/drawingml/2006/picture">
                <pic:pic>
                  <pic:nvPicPr>
                    <pic:cNvPr id="0" name="experiment_comparison.png"/>
                    <pic:cNvPicPr/>
                  </pic:nvPicPr>
                  <pic:blipFill>
                    <a:blip r:embed="rId10"/>
                    <a:stretch>
                      <a:fillRect/>
                    </a:stretch>
                  </pic:blipFill>
                  <pic:spPr>
                    <a:xfrm>
                      <a:off x="0" y="0"/>
                      <a:ext cx="5349240" cy="3008948"/>
                    </a:xfrm>
                    <a:prstGeom prst="rect"/>
                  </pic:spPr>
                </pic:pic>
              </a:graphicData>
            </a:graphic>
          </wp:inline>
        </w:drawing>
      </w:r>
    </w:p>
    <w:p>
      <w:pPr>
        <w:spacing w:before="40" w:after="100"/>
        <w:jc w:val="center"/>
      </w:pPr>
      <w:r>
        <w:rPr>
          <w:i/>
          <w:sz w:val="17"/>
        </w:rPr>
        <w:t>Figura 1  Accuracy de entrenamiento y validación en la mejor época</w:t>
      </w:r>
    </w:p>
    <w:p>
      <w:pPr>
        <w:pStyle w:val="Heading1"/>
      </w:pPr>
      <w:r>
        <w:t>Análisis de sesgo y varianza</w:t>
      </w:r>
    </w:p>
    <w:p>
      <w:r>
        <w:t>El modelo base alcanzó 93,47 % de accuracy de entrenamiento y 92,03 % de validación en la época 7. La brecha de 1,44 puntos indica varianza moderada, pero su pérdida de validación de 0,2229 fue la menor del estudio. En las tres épocas siguientes el entrenamiento continuó mejorando mientras la validación se estancó, evidencia de sobreajuste incipiente que justificó restaurar la época 7.</w:t>
      </w:r>
    </w:p>
    <w:p>
      <w:r>
        <w:t>La variante regularizada combinó aumentación, Batch Normalization, Global Average Pooling y Dropout. La diferencia entre entrenamiento y validación fue mínima, pero ambas métricas quedaron cerca de 89 %, lo que señala mayor sesgo. La red de mayor capacidad tampoco compensó esa regularización: obtuvo 89,40 % de validación y mostró oscilaciones entre épocas. Se seleccionó el modelo base por la menor pérdida de validación, sin consultar el conjunto de prueba.</w:t>
      </w:r>
    </w:p>
    <w:p>
      <w:r>
        <w:br w:type="page"/>
      </w:r>
    </w:p>
    <w:p>
      <w:pPr>
        <w:pStyle w:val="Heading1"/>
      </w:pPr>
      <w:r>
        <w:t>Evaluación final</w:t>
      </w:r>
    </w:p>
    <w:p>
      <w:r>
        <w:t>El modelo seleccionado se evaluó una sola vez sobre el conjunto de prueba. Obtuvo una pérdida de 0.2467, accuracy de 91.25 % y F1 macro de 0.9127. La cercanía entre accuracy y F1 macro es consistente con las 1.000 muestras por clase del conjunto de prueba.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83"/>
        <w:gridCol w:w="5083"/>
      </w:tblGrid>
      <w:tr>
        <w:tc>
          <w:tcPr>
            <w:tcW w:type="dxa" w:w="5083"/>
            <w:vAlign w:val="top"/>
            <w:tcMar>
              <w:top w:w="30" w:type="dxa"/>
              <w:start w:w="40" w:type="dxa"/>
              <w:bottom w:w="30" w:type="dxa"/>
              <w:end w:w="40" w:type="dxa"/>
            </w:tcMar>
          </w:tcPr>
          <w:p>
            <w:pPr>
              <w:jc w:val="center"/>
            </w:pPr>
            <w:r>
              <w:drawing>
                <wp:inline xmlns:a="http://schemas.openxmlformats.org/drawingml/2006/main" xmlns:pic="http://schemas.openxmlformats.org/drawingml/2006/picture">
                  <wp:extent cx="3063240" cy="1113905"/>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1"/>
                          <a:stretch>
                            <a:fillRect/>
                          </a:stretch>
                        </pic:blipFill>
                        <pic:spPr>
                          <a:xfrm>
                            <a:off x="0" y="0"/>
                            <a:ext cx="3063240" cy="1113905"/>
                          </a:xfrm>
                          <a:prstGeom prst="rect"/>
                        </pic:spPr>
                      </pic:pic>
                    </a:graphicData>
                  </a:graphic>
                </wp:inline>
              </w:drawing>
            </w:r>
          </w:p>
        </w:tc>
        <w:tc>
          <w:tcPr>
            <w:tcW w:type="dxa" w:w="5083"/>
            <w:vAlign w:val="top"/>
            <w:tcMar>
              <w:top w:w="30" w:type="dxa"/>
              <w:start w:w="40" w:type="dxa"/>
              <w:bottom w:w="30" w:type="dxa"/>
              <w:end w:w="40" w:type="dxa"/>
            </w:tcMar>
          </w:tcPr>
          <w:p>
            <w:pPr>
              <w:jc w:val="center"/>
            </w:pPr>
            <w:r>
              <w:drawing>
                <wp:inline xmlns:a="http://schemas.openxmlformats.org/drawingml/2006/main" xmlns:pic="http://schemas.openxmlformats.org/drawingml/2006/picture">
                  <wp:extent cx="2971800" cy="26416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2971800" cy="2641600"/>
                          </a:xfrm>
                          <a:prstGeom prst="rect"/>
                        </pic:spPr>
                      </pic:pic>
                    </a:graphicData>
                  </a:graphic>
                </wp:inline>
              </w:drawing>
            </w:r>
          </w:p>
        </w:tc>
      </w:tr>
    </w:tbl>
    <w:p>
      <w:pPr>
        <w:spacing w:before="40" w:after="100"/>
        <w:jc w:val="center"/>
      </w:pPr>
      <w:r>
        <w:rPr>
          <w:i/>
          <w:sz w:val="17"/>
        </w:rPr>
        <w:t>Figura 2  Curvas del modelo elegido y matriz de confusión sobre prueba</w:t>
      </w:r>
    </w:p>
    <w:p>
      <w:pPr>
        <w:pStyle w:val="Heading1"/>
      </w:pPr>
      <w:r>
        <w:t>Rendimiento por clase</w:t>
      </w:r>
    </w:p>
    <w:p>
      <w:r>
        <w:t>Trouser alcanzó F1 0,9856, Bag 0,9834 y Sandal 0,9799. La clase más difícil fue Shirt, con F1 0,7400, porque comparte siluetas y texturas con T-shirt/top, Pullover y Coat. Pullover y Coat obtuvieron F1 0,8700 y 0,8635. La matriz de confusión confirma que los errores se concentran en categorías visualmente similares y no en calzado o accesorios.</w:t>
      </w:r>
    </w:p>
    <w:p>
      <w:pPr>
        <w:pStyle w:val="Heading1"/>
      </w:pPr>
      <w:r>
        <w:t>Pronóstico temporal con RNN</w:t>
      </w:r>
    </w:p>
    <w:p>
      <w:r>
        <w:t>Jena Climate reúne mediciones meteorológicas ordenadas en el tiempo. Se tomó una observación por hora y se usaron presión, temperatura, humedad relativa, velocidad y dirección del viento para pronosticar la temperatura seis horas adelante desde una ventana de 72 horas. Las 70.092 observaciones se dividieron cronológicamente en 49.064 para entrenamiento, 10.514 para validación y 10.514 para prueba. La media y el desvío se calcularon solo sobre entrenamiento para evitar que información futura contaminara el ajuste.</w:t>
      </w:r>
    </w:p>
    <w:p>
      <w:pPr>
        <w:pStyle w:val="Heading2"/>
      </w:pPr>
      <w:r>
        <w:t>Arquitectura y memoria temporal</w:t>
      </w:r>
    </w:p>
    <w:p>
      <w:r>
        <w:t>Se compararon celdas GRU y LSTM. Ambas incorporan compuertas que regulan qué información conservar u olvidar, creando rutas de gradiente más estables que una RNN simple durante la retropropagación a través del tiempo. GRU requiere menos parámetros que una LSTM equivalente y resultó ligeramente mejor en validación. Los modelos usaron Dropout 0,2, una capa Dense de 16 unidades, salida lineal, Adam con learning rate 0,001 y clipping de norma 1,0.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94"/>
        <w:gridCol w:w="1694"/>
        <w:gridCol w:w="1694"/>
        <w:gridCol w:w="1694"/>
        <w:gridCol w:w="1694"/>
        <w:gridCol w:w="1694"/>
      </w:tblGrid>
      <w:tr>
        <w:tc>
          <w:tcPr>
            <w:tcW w:type="dxa" w:w="1800"/>
            <w:vAlign w:val="center"/>
            <w:shd w:fill="1F4E78"/>
            <w:tcMar>
              <w:top w:w="90" w:type="dxa"/>
              <w:start w:w="90" w:type="dxa"/>
              <w:bottom w:w="90" w:type="dxa"/>
              <w:end w:w="90" w:type="dxa"/>
            </w:tcMar>
          </w:tcPr>
          <w:p>
            <w:pPr>
              <w:jc w:val="center"/>
            </w:pPr>
            <w:r>
              <w:rPr>
                <w:b/>
                <w:color w:val="FFFFFF"/>
                <w:sz w:val="18"/>
              </w:rPr>
              <w:t>Modelo</w:t>
            </w:r>
          </w:p>
        </w:tc>
        <w:tc>
          <w:tcPr>
            <w:tcW w:type="dxa" w:w="1512"/>
            <w:vAlign w:val="center"/>
            <w:shd w:fill="1F4E78"/>
            <w:tcMar>
              <w:top w:w="90" w:type="dxa"/>
              <w:start w:w="90" w:type="dxa"/>
              <w:bottom w:w="90" w:type="dxa"/>
              <w:end w:w="90" w:type="dxa"/>
            </w:tcMar>
          </w:tcPr>
          <w:p>
            <w:pPr>
              <w:jc w:val="center"/>
            </w:pPr>
            <w:r>
              <w:rPr>
                <w:b/>
                <w:color w:val="FFFFFF"/>
                <w:sz w:val="18"/>
              </w:rPr>
              <w:t>Parámetros</w:t>
            </w:r>
          </w:p>
        </w:tc>
        <w:tc>
          <w:tcPr>
            <w:tcW w:type="dxa" w:w="936"/>
            <w:vAlign w:val="center"/>
            <w:shd w:fill="1F4E78"/>
            <w:tcMar>
              <w:top w:w="90" w:type="dxa"/>
              <w:start w:w="90" w:type="dxa"/>
              <w:bottom w:w="90" w:type="dxa"/>
              <w:end w:w="90" w:type="dxa"/>
            </w:tcMar>
          </w:tcPr>
          <w:p>
            <w:pPr>
              <w:jc w:val="center"/>
            </w:pPr>
            <w:r>
              <w:rPr>
                <w:b/>
                <w:color w:val="FFFFFF"/>
                <w:sz w:val="18"/>
              </w:rPr>
              <w:t>Época</w:t>
            </w:r>
          </w:p>
        </w:tc>
        <w:tc>
          <w:tcPr>
            <w:tcW w:type="dxa" w:w="1728"/>
            <w:vAlign w:val="center"/>
            <w:shd w:fill="1F4E78"/>
            <w:tcMar>
              <w:top w:w="90" w:type="dxa"/>
              <w:start w:w="90" w:type="dxa"/>
              <w:bottom w:w="90" w:type="dxa"/>
              <w:end w:w="90" w:type="dxa"/>
            </w:tcMar>
          </w:tcPr>
          <w:p>
            <w:pPr>
              <w:jc w:val="center"/>
            </w:pPr>
            <w:r>
              <w:rPr>
                <w:b/>
                <w:color w:val="FFFFFF"/>
                <w:sz w:val="18"/>
              </w:rPr>
              <w:t>Train MAE</w:t>
            </w:r>
          </w:p>
        </w:tc>
        <w:tc>
          <w:tcPr>
            <w:tcW w:type="dxa" w:w="1728"/>
            <w:vAlign w:val="center"/>
            <w:shd w:fill="1F4E78"/>
            <w:tcMar>
              <w:top w:w="90" w:type="dxa"/>
              <w:start w:w="90" w:type="dxa"/>
              <w:bottom w:w="90" w:type="dxa"/>
              <w:end w:w="90" w:type="dxa"/>
            </w:tcMar>
          </w:tcPr>
          <w:p>
            <w:pPr>
              <w:jc w:val="center"/>
            </w:pPr>
            <w:r>
              <w:rPr>
                <w:b/>
                <w:color w:val="FFFFFF"/>
                <w:sz w:val="18"/>
              </w:rPr>
              <w:t>Val MAE</w:t>
            </w:r>
          </w:p>
        </w:tc>
        <w:tc>
          <w:tcPr>
            <w:tcW w:type="dxa" w:w="1800"/>
            <w:vAlign w:val="center"/>
            <w:shd w:fill="1F4E78"/>
            <w:tcMar>
              <w:top w:w="90" w:type="dxa"/>
              <w:start w:w="90" w:type="dxa"/>
              <w:bottom w:w="90" w:type="dxa"/>
              <w:end w:w="90" w:type="dxa"/>
            </w:tcMar>
          </w:tcPr>
          <w:p>
            <w:pPr>
              <w:jc w:val="center"/>
            </w:pPr>
            <w:r>
              <w:rPr>
                <w:b/>
                <w:color w:val="FFFFFF"/>
                <w:sz w:val="18"/>
              </w:rPr>
              <w:t>Val RMSE</w:t>
            </w:r>
          </w:p>
        </w:tc>
      </w:tr>
      <w:tr>
        <w:tc>
          <w:tcPr>
            <w:tcW w:type="dxa" w:w="1800"/>
            <w:vAlign w:val="center"/>
            <w:tcMar>
              <w:top w:w="90" w:type="dxa"/>
              <w:start w:w="90" w:type="dxa"/>
              <w:bottom w:w="90" w:type="dxa"/>
              <w:end w:w="90" w:type="dxa"/>
            </w:tcMar>
          </w:tcPr>
          <w:p>
            <w:pPr>
              <w:jc w:val="left"/>
            </w:pPr>
            <w:r>
              <w:rPr>
                <w:sz w:val="17"/>
              </w:rPr>
              <w:t>GRU 32</w:t>
            </w:r>
          </w:p>
        </w:tc>
        <w:tc>
          <w:tcPr>
            <w:tcW w:type="dxa" w:w="1512"/>
            <w:vAlign w:val="center"/>
            <w:tcMar>
              <w:top w:w="90" w:type="dxa"/>
              <w:start w:w="90" w:type="dxa"/>
              <w:bottom w:w="90" w:type="dxa"/>
              <w:end w:w="90" w:type="dxa"/>
            </w:tcMar>
          </w:tcPr>
          <w:p>
            <w:pPr>
              <w:jc w:val="center"/>
            </w:pPr>
            <w:r>
              <w:rPr>
                <w:sz w:val="17"/>
              </w:rPr>
              <w:t>4.289</w:t>
            </w:r>
          </w:p>
        </w:tc>
        <w:tc>
          <w:tcPr>
            <w:tcW w:type="dxa" w:w="936"/>
            <w:vAlign w:val="center"/>
            <w:tcMar>
              <w:top w:w="90" w:type="dxa"/>
              <w:start w:w="90" w:type="dxa"/>
              <w:bottom w:w="90" w:type="dxa"/>
              <w:end w:w="90" w:type="dxa"/>
            </w:tcMar>
          </w:tcPr>
          <w:p>
            <w:pPr>
              <w:jc w:val="center"/>
            </w:pPr>
            <w:r>
              <w:rPr>
                <w:sz w:val="17"/>
              </w:rPr>
              <w:t>13</w:t>
            </w:r>
          </w:p>
        </w:tc>
        <w:tc>
          <w:tcPr>
            <w:tcW w:type="dxa" w:w="1728"/>
            <w:vAlign w:val="center"/>
            <w:tcMar>
              <w:top w:w="90" w:type="dxa"/>
              <w:start w:w="90" w:type="dxa"/>
              <w:bottom w:w="90" w:type="dxa"/>
              <w:end w:w="90" w:type="dxa"/>
            </w:tcMar>
          </w:tcPr>
          <w:p>
            <w:pPr>
              <w:jc w:val="center"/>
            </w:pPr>
            <w:r>
              <w:rPr>
                <w:sz w:val="17"/>
              </w:rPr>
              <w:t>0.2494</w:t>
            </w:r>
          </w:p>
        </w:tc>
        <w:tc>
          <w:tcPr>
            <w:tcW w:type="dxa" w:w="1728"/>
            <w:vAlign w:val="center"/>
            <w:tcMar>
              <w:top w:w="90" w:type="dxa"/>
              <w:start w:w="90" w:type="dxa"/>
              <w:bottom w:w="90" w:type="dxa"/>
              <w:end w:w="90" w:type="dxa"/>
            </w:tcMar>
          </w:tcPr>
          <w:p>
            <w:pPr>
              <w:jc w:val="center"/>
            </w:pPr>
            <w:r>
              <w:rPr>
                <w:sz w:val="17"/>
              </w:rPr>
              <w:t>0.2248</w:t>
            </w:r>
          </w:p>
        </w:tc>
        <w:tc>
          <w:tcPr>
            <w:tcW w:type="dxa" w:w="1800"/>
            <w:vAlign w:val="center"/>
            <w:tcMar>
              <w:top w:w="90" w:type="dxa"/>
              <w:start w:w="90" w:type="dxa"/>
              <w:bottom w:w="90" w:type="dxa"/>
              <w:end w:w="90" w:type="dxa"/>
            </w:tcMar>
          </w:tcPr>
          <w:p>
            <w:pPr>
              <w:jc w:val="center"/>
            </w:pPr>
            <w:r>
              <w:rPr>
                <w:sz w:val="17"/>
              </w:rPr>
              <w:t>0.2880</w:t>
            </w:r>
          </w:p>
        </w:tc>
      </w:tr>
      <w:tr>
        <w:tc>
          <w:tcPr>
            <w:tcW w:type="dxa" w:w="1800"/>
            <w:vAlign w:val="center"/>
            <w:tcMar>
              <w:top w:w="90" w:type="dxa"/>
              <w:start w:w="90" w:type="dxa"/>
              <w:bottom w:w="90" w:type="dxa"/>
              <w:end w:w="90" w:type="dxa"/>
            </w:tcMar>
            <w:shd w:fill="EAF2F8"/>
          </w:tcPr>
          <w:p>
            <w:pPr>
              <w:jc w:val="left"/>
            </w:pPr>
            <w:r>
              <w:rPr>
                <w:sz w:val="17"/>
              </w:rPr>
              <w:t>GRU 64</w:t>
            </w:r>
          </w:p>
        </w:tc>
        <w:tc>
          <w:tcPr>
            <w:tcW w:type="dxa" w:w="1512"/>
            <w:vAlign w:val="center"/>
            <w:tcMar>
              <w:top w:w="90" w:type="dxa"/>
              <w:start w:w="90" w:type="dxa"/>
              <w:bottom w:w="90" w:type="dxa"/>
              <w:end w:w="90" w:type="dxa"/>
            </w:tcMar>
            <w:shd w:fill="EAF2F8"/>
          </w:tcPr>
          <w:p>
            <w:pPr>
              <w:jc w:val="center"/>
            </w:pPr>
            <w:r>
              <w:rPr>
                <w:sz w:val="17"/>
              </w:rPr>
              <w:t>14.689</w:t>
            </w:r>
          </w:p>
        </w:tc>
        <w:tc>
          <w:tcPr>
            <w:tcW w:type="dxa" w:w="936"/>
            <w:vAlign w:val="center"/>
            <w:tcMar>
              <w:top w:w="90" w:type="dxa"/>
              <w:start w:w="90" w:type="dxa"/>
              <w:bottom w:w="90" w:type="dxa"/>
              <w:end w:w="90" w:type="dxa"/>
            </w:tcMar>
            <w:shd w:fill="EAF2F8"/>
          </w:tcPr>
          <w:p>
            <w:pPr>
              <w:jc w:val="center"/>
            </w:pPr>
            <w:r>
              <w:rPr>
                <w:sz w:val="17"/>
              </w:rPr>
              <w:t>15</w:t>
            </w:r>
          </w:p>
        </w:tc>
        <w:tc>
          <w:tcPr>
            <w:tcW w:type="dxa" w:w="1728"/>
            <w:vAlign w:val="center"/>
            <w:tcMar>
              <w:top w:w="90" w:type="dxa"/>
              <w:start w:w="90" w:type="dxa"/>
              <w:bottom w:w="90" w:type="dxa"/>
              <w:end w:w="90" w:type="dxa"/>
            </w:tcMar>
            <w:shd w:fill="EAF2F8"/>
          </w:tcPr>
          <w:p>
            <w:pPr>
              <w:jc w:val="center"/>
            </w:pPr>
            <w:r>
              <w:rPr>
                <w:sz w:val="17"/>
              </w:rPr>
              <w:t>0.2346</w:t>
            </w:r>
          </w:p>
        </w:tc>
        <w:tc>
          <w:tcPr>
            <w:tcW w:type="dxa" w:w="1728"/>
            <w:vAlign w:val="center"/>
            <w:tcMar>
              <w:top w:w="90" w:type="dxa"/>
              <w:start w:w="90" w:type="dxa"/>
              <w:bottom w:w="90" w:type="dxa"/>
              <w:end w:w="90" w:type="dxa"/>
            </w:tcMar>
            <w:shd w:fill="EAF2F8"/>
          </w:tcPr>
          <w:p>
            <w:pPr>
              <w:jc w:val="center"/>
            </w:pPr>
            <w:r>
              <w:rPr>
                <w:sz w:val="17"/>
              </w:rPr>
              <w:t>0.2232</w:t>
            </w:r>
          </w:p>
        </w:tc>
        <w:tc>
          <w:tcPr>
            <w:tcW w:type="dxa" w:w="1800"/>
            <w:vAlign w:val="center"/>
            <w:tcMar>
              <w:top w:w="90" w:type="dxa"/>
              <w:start w:w="90" w:type="dxa"/>
              <w:bottom w:w="90" w:type="dxa"/>
              <w:end w:w="90" w:type="dxa"/>
            </w:tcMar>
            <w:shd w:fill="EAF2F8"/>
          </w:tcPr>
          <w:p>
            <w:pPr>
              <w:jc w:val="center"/>
            </w:pPr>
            <w:r>
              <w:rPr>
                <w:sz w:val="17"/>
              </w:rPr>
              <w:t>0.2841</w:t>
            </w:r>
          </w:p>
        </w:tc>
      </w:tr>
      <w:tr>
        <w:tc>
          <w:tcPr>
            <w:tcW w:type="dxa" w:w="1800"/>
            <w:vAlign w:val="center"/>
            <w:tcMar>
              <w:top w:w="90" w:type="dxa"/>
              <w:start w:w="90" w:type="dxa"/>
              <w:bottom w:w="90" w:type="dxa"/>
              <w:end w:w="90" w:type="dxa"/>
            </w:tcMar>
          </w:tcPr>
          <w:p>
            <w:pPr>
              <w:jc w:val="left"/>
            </w:pPr>
            <w:r>
              <w:rPr>
                <w:sz w:val="17"/>
              </w:rPr>
              <w:t>LSTM 32</w:t>
            </w:r>
          </w:p>
        </w:tc>
        <w:tc>
          <w:tcPr>
            <w:tcW w:type="dxa" w:w="1512"/>
            <w:vAlign w:val="center"/>
            <w:tcMar>
              <w:top w:w="90" w:type="dxa"/>
              <w:start w:w="90" w:type="dxa"/>
              <w:bottom w:w="90" w:type="dxa"/>
              <w:end w:w="90" w:type="dxa"/>
            </w:tcMar>
          </w:tcPr>
          <w:p>
            <w:pPr>
              <w:jc w:val="center"/>
            </w:pPr>
            <w:r>
              <w:rPr>
                <w:sz w:val="17"/>
              </w:rPr>
              <w:t>5.409</w:t>
            </w:r>
          </w:p>
        </w:tc>
        <w:tc>
          <w:tcPr>
            <w:tcW w:type="dxa" w:w="936"/>
            <w:vAlign w:val="center"/>
            <w:tcMar>
              <w:top w:w="90" w:type="dxa"/>
              <w:start w:w="90" w:type="dxa"/>
              <w:bottom w:w="90" w:type="dxa"/>
              <w:end w:w="90" w:type="dxa"/>
            </w:tcMar>
          </w:tcPr>
          <w:p>
            <w:pPr>
              <w:jc w:val="center"/>
            </w:pPr>
            <w:r>
              <w:rPr>
                <w:sz w:val="17"/>
              </w:rPr>
              <w:t>14</w:t>
            </w:r>
          </w:p>
        </w:tc>
        <w:tc>
          <w:tcPr>
            <w:tcW w:type="dxa" w:w="1728"/>
            <w:vAlign w:val="center"/>
            <w:tcMar>
              <w:top w:w="90" w:type="dxa"/>
              <w:start w:w="90" w:type="dxa"/>
              <w:bottom w:w="90" w:type="dxa"/>
              <w:end w:w="90" w:type="dxa"/>
            </w:tcMar>
          </w:tcPr>
          <w:p>
            <w:pPr>
              <w:jc w:val="center"/>
            </w:pPr>
            <w:r>
              <w:rPr>
                <w:sz w:val="17"/>
              </w:rPr>
              <w:t>0.2462</w:t>
            </w:r>
          </w:p>
        </w:tc>
        <w:tc>
          <w:tcPr>
            <w:tcW w:type="dxa" w:w="1728"/>
            <w:vAlign w:val="center"/>
            <w:tcMar>
              <w:top w:w="90" w:type="dxa"/>
              <w:start w:w="90" w:type="dxa"/>
              <w:bottom w:w="90" w:type="dxa"/>
              <w:end w:w="90" w:type="dxa"/>
            </w:tcMar>
          </w:tcPr>
          <w:p>
            <w:pPr>
              <w:jc w:val="center"/>
            </w:pPr>
            <w:r>
              <w:rPr>
                <w:sz w:val="17"/>
              </w:rPr>
              <w:t>0.2282</w:t>
            </w:r>
          </w:p>
        </w:tc>
        <w:tc>
          <w:tcPr>
            <w:tcW w:type="dxa" w:w="1800"/>
            <w:vAlign w:val="center"/>
            <w:tcMar>
              <w:top w:w="90" w:type="dxa"/>
              <w:start w:w="90" w:type="dxa"/>
              <w:bottom w:w="90" w:type="dxa"/>
              <w:end w:w="90" w:type="dxa"/>
            </w:tcMar>
          </w:tcPr>
          <w:p>
            <w:pPr>
              <w:jc w:val="center"/>
            </w:pPr>
            <w:r>
              <w:rPr>
                <w:sz w:val="17"/>
              </w:rPr>
              <w:t>0.2894</w:t>
            </w:r>
          </w:p>
        </w:tc>
      </w:tr>
    </w:tbl>
    <w:p>
      <w:pPr>
        <w:pStyle w:val="Heading2"/>
      </w:pPr>
      <w:r>
        <w:t>Evaluación y estabilidad predictiva</w:t>
      </w:r>
    </w:p>
    <w:p>
      <w:pPr>
        <w:keepLines/>
      </w:pPr>
      <w:r>
        <w:t>GRU 64 fue seleccionada exclusivamente por la menor MAE de validación (0.2232). En prueba obtuvo MAE 1.918 °C y RMSE 2.370 °C; el baseline persistente alcanzó 3.028 °C y 4.025 °C. La reducción fue de 36.7 % en MAE y 41.1 % en RMSE. Las curvas descendieron sin divergencia sostenida entre entrenamiento y validación. Las predicciones conservaron los ciclos y cambios de tendencia, aunque suavizaron algunos máximos y mínimos, principal limitación observada.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83"/>
        <w:gridCol w:w="5083"/>
      </w:tblGrid>
      <w:tr>
        <w:tc>
          <w:tcPr>
            <w:tcW w:type="dxa" w:w="5083"/>
            <w:vAlign w:val="top"/>
            <w:tcMar>
              <w:top w:w="30" w:type="dxa"/>
              <w:start w:w="40" w:type="dxa"/>
              <w:bottom w:w="30" w:type="dxa"/>
              <w:end w:w="40" w:type="dxa"/>
            </w:tcMar>
          </w:tcPr>
          <w:p>
            <w:pPr>
              <w:jc w:val="center"/>
            </w:pPr>
            <w:r>
              <w:drawing>
                <wp:inline xmlns:a="http://schemas.openxmlformats.org/drawingml/2006/main" xmlns:pic="http://schemas.openxmlformats.org/drawingml/2006/picture">
                  <wp:extent cx="3063240" cy="1225296"/>
                  <wp:docPr id="4" name="Picture 4"/>
                  <wp:cNvGraphicFramePr>
                    <a:graphicFrameLocks noChangeAspect="1"/>
                  </wp:cNvGraphicFramePr>
                  <a:graphic>
                    <a:graphicData uri="http://schemas.openxmlformats.org/drawingml/2006/picture">
                      <pic:pic>
                        <pic:nvPicPr>
                          <pic:cNvPr id="0" name="training_curves.png"/>
                          <pic:cNvPicPr/>
                        </pic:nvPicPr>
                        <pic:blipFill>
                          <a:blip r:embed="rId13"/>
                          <a:stretch>
                            <a:fillRect/>
                          </a:stretch>
                        </pic:blipFill>
                        <pic:spPr>
                          <a:xfrm>
                            <a:off x="0" y="0"/>
                            <a:ext cx="3063240" cy="1225296"/>
                          </a:xfrm>
                          <a:prstGeom prst="rect"/>
                        </pic:spPr>
                      </pic:pic>
                    </a:graphicData>
                  </a:graphic>
                </wp:inline>
              </w:drawing>
            </w:r>
          </w:p>
        </w:tc>
        <w:tc>
          <w:tcPr>
            <w:tcW w:type="dxa" w:w="5083"/>
            <w:vAlign w:val="top"/>
            <w:tcMar>
              <w:top w:w="30" w:type="dxa"/>
              <w:start w:w="40" w:type="dxa"/>
              <w:bottom w:w="30" w:type="dxa"/>
              <w:end w:w="40" w:type="dxa"/>
            </w:tcMar>
          </w:tcPr>
          <w:p>
            <w:pPr>
              <w:jc w:val="center"/>
            </w:pPr>
            <w:r>
              <w:drawing>
                <wp:inline xmlns:a="http://schemas.openxmlformats.org/drawingml/2006/main" xmlns:pic="http://schemas.openxmlformats.org/drawingml/2006/picture">
                  <wp:extent cx="3063240" cy="1225296"/>
                  <wp:docPr id="5" name="Picture 5"/>
                  <wp:cNvGraphicFramePr>
                    <a:graphicFrameLocks noChangeAspect="1"/>
                  </wp:cNvGraphicFramePr>
                  <a:graphic>
                    <a:graphicData uri="http://schemas.openxmlformats.org/drawingml/2006/picture">
                      <pic:pic>
                        <pic:nvPicPr>
                          <pic:cNvPr id="0" name="test_predictions.png"/>
                          <pic:cNvPicPr/>
                        </pic:nvPicPr>
                        <pic:blipFill>
                          <a:blip r:embed="rId14"/>
                          <a:stretch>
                            <a:fillRect/>
                          </a:stretch>
                        </pic:blipFill>
                        <pic:spPr>
                          <a:xfrm>
                            <a:off x="0" y="0"/>
                            <a:ext cx="3063240" cy="1225296"/>
                          </a:xfrm>
                          <a:prstGeom prst="rect"/>
                        </pic:spPr>
                      </pic:pic>
                    </a:graphicData>
                  </a:graphic>
                </wp:inline>
              </w:drawing>
            </w:r>
          </w:p>
        </w:tc>
      </w:tr>
    </w:tbl>
    <w:p>
      <w:pPr>
        <w:spacing w:before="40" w:after="100"/>
        <w:jc w:val="center"/>
      </w:pPr>
      <w:r>
        <w:rPr>
          <w:i/>
          <w:sz w:val="17"/>
        </w:rPr>
        <w:t>Figura 3  Curvas de aprendizaje y pronósticos de la GRU seleccionada</w:t>
      </w:r>
    </w:p>
    <w:p>
      <w:pPr>
        <w:pStyle w:val="Heading1"/>
      </w:pPr>
      <w:r>
        <w:t>Conclusiones</w:t>
      </w:r>
    </w:p>
    <w:p>
      <w:pPr>
        <w:pStyle w:val="ListBullet"/>
        <w:spacing w:after="40"/>
      </w:pPr>
      <w:r>
        <w:t>La CNN preservó la localidad espacial mediante convoluciones 2D de 3 x 3 y redujo las representaciones con MaxPooling.</w:t>
      </w:r>
    </w:p>
    <w:p>
      <w:pPr>
        <w:pStyle w:val="ListBullet"/>
        <w:spacing w:after="40"/>
      </w:pPr>
      <w:r>
        <w:t>La separación por lotes evitó compartir grupos entre entrenamiento y validación, y el test permaneció aislado hasta la selección final.</w:t>
      </w:r>
    </w:p>
    <w:p>
      <w:pPr>
        <w:pStyle w:val="ListBullet"/>
        <w:spacing w:after="40"/>
      </w:pPr>
      <w:r>
        <w:t>La arquitectura base ofreció el mejor equilibrio empírico: 91,25 % de accuracy de prueba con sobreajuste controlado mediante checkpoint y parada temprana.</w:t>
      </w:r>
    </w:p>
    <w:p>
      <w:pPr>
        <w:pStyle w:val="ListBullet"/>
        <w:spacing w:after="40"/>
      </w:pPr>
      <w:r>
        <w:t>La GRU 64 capturó memoria temporal y redujo 36,7 % el MAE frente al baseline; el margen de mejora está en representar mejor los extremos térmicos.</w:t>
      </w:r>
    </w:p>
    <w:p>
      <w:pPr>
        <w:pStyle w:val="Heading1"/>
      </w:pPr>
      <w:r>
        <w:t>Archivos entregados</w:t>
      </w:r>
    </w:p>
    <w:p>
      <w:r>
        <w:t>El código reproducible se encuentra en cnn_pipeline.py, cnn_experiments.py, rnn_data.py, rnn_pipeline.py y rnn_experiments.py. Los modelos se exportaron como cnn_fashion_mnist.keras y rnn_forecaster.keras. Las métricas, historias y figuras permanecen en results/cnn y results/rnn.</w:t>
      </w:r>
    </w:p>
    <w:sectPr w:rsidR="00FC693F" w:rsidRPr="0006063C" w:rsidSect="00034616">
      <w:footerReference w:type="default" r:id="rId9"/>
      <w:pgSz w:w="12240" w:h="15840"/>
      <w:pgMar w:top="893"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