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A3EFA" w14:textId="2633658C" w:rsidR="007E1176" w:rsidRDefault="007E1176" w:rsidP="007E1176">
      <w:pPr>
        <w:jc w:val="center"/>
      </w:pPr>
      <w:r>
        <w:t>ESCOPO – mensagem do Flávio</w:t>
      </w:r>
    </w:p>
    <w:p w14:paraId="1304F8BD" w14:textId="77777777" w:rsidR="007E1176" w:rsidRDefault="007E1176" w:rsidP="007E1176"/>
    <w:p w14:paraId="59CFBFEA" w14:textId="5AEEB790" w:rsidR="007E1176" w:rsidRDefault="007E1176" w:rsidP="007E1176">
      <w:r>
        <w:t>Órgãos: inicialmente, STF e TCU.</w:t>
      </w:r>
    </w:p>
    <w:p w14:paraId="120263CE" w14:textId="77777777" w:rsidR="007E1176" w:rsidRDefault="007E1176" w:rsidP="007E1176">
      <w:r>
        <w:t xml:space="preserve">De onde vêm os textos: o ideal é que a ferramenta busque automaticamente nos sites oficiais, fazendo consultas periódicas e identificando decisões novas. </w:t>
      </w:r>
    </w:p>
    <w:p w14:paraId="00BB899E" w14:textId="77777777" w:rsidR="007E1176" w:rsidRDefault="007E1176" w:rsidP="007E1176">
      <w:r>
        <w:t>Critério de “finanças públicas”:  temas relacionados a: LRF; orçamento público; execução orçamentária e financeira; créditos adicionais; emendas parlamentares; despesas com pessoal; renúncia de receita, benefícios tributários; dívida pública e operações de crédito; precatórios; transferências intergovernamentais; fundos públicos; vinculações constitucionais; regras fiscais; responsabilidade fiscal; controle e fiscalização da execução orçamentária; impacto orçamentário e financeiro de proposições; subsídios e subvenções; restos a pagar; contingenciamento; receitas públicas e repartição de receitas.</w:t>
      </w:r>
    </w:p>
    <w:p w14:paraId="359B1338" w14:textId="77777777" w:rsidR="007E1176" w:rsidRDefault="007E1176" w:rsidP="007E1176">
      <w:r>
        <w:t>Resultado: gostaria dos dois. Uma base estruturada, que possa ser exportada para Excel, e uma página web de consulta mais amigável para os consultores.</w:t>
      </w:r>
    </w:p>
    <w:p w14:paraId="193D1441" w14:textId="77777777" w:rsidR="007E1176" w:rsidRDefault="007E1176" w:rsidP="007E1176">
      <w:r>
        <w:t>Volume e frequência: não é carga única. A ideia é fazer inicialmente uma carga histórica, talvez dos últimos 5 a 10 anos para os principais temas, e depois transformar em uma rotina semanal de atualização, destacando apenas decisões novas ou especialmente relevantes.</w:t>
      </w:r>
    </w:p>
    <w:sectPr w:rsidR="007E11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76"/>
    <w:rsid w:val="001C0F81"/>
    <w:rsid w:val="007E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3EF35B"/>
  <w15:chartTrackingRefBased/>
  <w15:docId w15:val="{1A4603DD-3D2B-CF42-A497-6C359F49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1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1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1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1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1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11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11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11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11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11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11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11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11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11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1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11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1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Emanuela Oliveira de Azevedo</dc:creator>
  <cp:keywords/>
  <dc:description/>
  <cp:lastModifiedBy>Emanuela Oliveira de Azevedo</cp:lastModifiedBy>
  <cp:revision>1</cp:revision>
  <dcterms:created xsi:type="dcterms:W3CDTF">2026-09-12T09:02:00Z</dcterms:created>
  <dcterms:modified xsi:type="dcterms:W3CDTF">2026-09-12T09:03:00Z</dcterms:modified>
</cp:coreProperties>
</file>