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5B2E99"/>
          <w:sz w:val="36"/>
          <w:szCs w:val="36"/>
        </w:rPr>
        <w:t xml:space="preserve">OncoMente: 2ª Avaliação de UX</w:t>
      </w:r>
    </w:p>
    <w:p>
      <w:pPr>
        <w:spacing w:after="100" w:line="264"/>
      </w:pPr>
      <w:r>
        <w:rPr>
          <w:rFonts w:ascii="Calibri" w:cs="Calibri" w:eastAsia="Calibri" w:hAnsi="Calibri"/>
          <w:color w:val="575760"/>
          <w:sz w:val="22"/>
          <w:szCs w:val="22"/>
        </w:rPr>
        <w:t xml:space="preserve">Avaliação heurística, design system, arquitetura da informação e protocolo Think Aloud do app móvel</w:t>
      </w:r>
    </w:p>
    <w:p>
      <w:pPr>
        <w:spacing w:after="100" w:line="264"/>
      </w:pPr>
      <w:r>
        <w:rPr>
          <w:rFonts w:ascii="Calibri" w:cs="Calibri" w:eastAsia="Calibri" w:hAnsi="Calibri"/>
          <w:color w:val="575760"/>
          <w:sz w:val="16"/>
          <w:szCs w:val="16"/>
        </w:rPr>
        <w:t xml:space="preserve">Branch ux-av2 · v1 = commit 92e5d3c (tag ux-av2-v1) · v2 = commit a11b51d (tag ux-av2-v2)</w:t>
      </w: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1. Introdução e fluxo-roteiro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O OncoMente apoia pacientes oncológicos de todas as idades e seus cuidadores em saúde mental, adesão ao tratamento e combate ao estigma. O protótipo avaliado é o próprio app (React Native + Expo Router), rodando contra a API NestJS com dados semeados. Como o público costuma estar cansado, ansioso ou em sofrimento, as decisões priorizaram linguagem acolhedora, baixa densidade de informação e poucos toques até o que importa.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Método: (1) baseline da v1 com prints; (2) avaliação heurística das 10 heurísticas de Nielsen, tela a tela; (3) design system com tokens verificados por script; (4) correções e microinterações (v2); (5) protocolo Think Aloud para 2 ou 3 participantes, com os resultados incorporados à matriz de iteração depois das sessões.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Fluxo-roteiro da gravação (10 telas)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"/>
        <w:gridCol w:w="1734"/>
        <w:gridCol w:w="1734"/>
        <w:gridCol w:w="4387"/>
        <w:gridCol w:w="2043"/>
      </w:tblGrid>
      <w:tr>
        <w:trPr>
          <w:cantSplit/>
          <w:tblHeader/>
        </w:trPr>
        <w:tc>
          <w:tcPr>
            <w:tcW w:type="dxa" w:w="30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#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Tela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Rota</w:t>
            </w:r>
          </w:p>
        </w:tc>
        <w:tc>
          <w:tcPr>
            <w:tcW w:type="dxa" w:w="438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O que mostrar</w:t>
            </w:r>
          </w:p>
        </w:tc>
        <w:tc>
          <w:tcPr>
            <w:tcW w:type="dxa" w:w="204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Estados</w:t>
            </w:r>
          </w:p>
        </w:tc>
      </w:tr>
      <w:tr>
        <w:trPr>
          <w:cantSplit/>
        </w:trPr>
        <w:tc>
          <w:tcPr>
            <w:tcW w:type="dxa" w:w="30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Início + modal de login suave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/</w:t>
            </w:r>
          </w:p>
        </w:tc>
        <w:tc>
          <w:tcPr>
            <w:tcW w:type="dxa" w:w="438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Modal com "Agora não" (lembrado); SOS visível; cadeado nas abas que pedem login</w:t>
            </w:r>
          </w:p>
        </w:tc>
        <w:tc>
          <w:tcPr>
            <w:tcW w:type="dxa" w:w="204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Default, pressed nos cards</w:t>
            </w:r>
          </w:p>
        </w:tc>
      </w:tr>
      <w:tr>
        <w:trPr>
          <w:cantSplit/>
        </w:trPr>
        <w:tc>
          <w:tcPr>
            <w:tcW w:type="dxa" w:w="30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Login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/LoginScreen</w:t>
            </w:r>
          </w:p>
        </w:tc>
        <w:tc>
          <w:tcPr>
            <w:tcW w:type="dxa" w:w="438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Labels visíveis; erro de validação ao tocar em Entrar vazio; loading no botão; toast de boas-vindas</w:t>
            </w:r>
          </w:p>
        </w:tc>
        <w:tc>
          <w:tcPr>
            <w:tcW w:type="dxa" w:w="204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Erro, carregando, sucesso</w:t>
            </w:r>
          </w:p>
        </w:tc>
      </w:tr>
      <w:tr>
        <w:trPr>
          <w:cantSplit/>
        </w:trPr>
        <w:tc>
          <w:tcPr>
            <w:tcW w:type="dxa" w:w="30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Oncologia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/Oncology</w:t>
            </w:r>
          </w:p>
        </w:tc>
        <w:tc>
          <w:tcPr>
            <w:tcW w:type="dxa" w:w="438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Lista com ícone e subtítulo por tema; seção "Seus direitos"</w:t>
            </w:r>
          </w:p>
        </w:tc>
        <w:tc>
          <w:tcPr>
            <w:tcW w:type="dxa" w:w="204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Pressed nos cards</w:t>
            </w:r>
          </w:p>
        </w:tc>
      </w:tr>
      <w:tr>
        <w:trPr>
          <w:cantSplit/>
        </w:trPr>
        <w:tc>
          <w:tcPr>
            <w:tcW w:type="dxa" w:w="30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Lazer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/Oncology/Leisure</w:t>
            </w:r>
          </w:p>
        </w:tc>
        <w:tc>
          <w:tcPr>
            <w:tcW w:type="dxa" w:w="438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Skeleton → carrosséis de atividades, livros, filmes e séries</w:t>
            </w:r>
          </w:p>
        </w:tc>
        <w:tc>
          <w:tcPr>
            <w:tcW w:type="dxa" w:w="204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Carregando, sucesso, erro, vazio</w:t>
            </w:r>
          </w:p>
        </w:tc>
      </w:tr>
      <w:tr>
        <w:trPr>
          <w:cantSplit/>
        </w:trPr>
        <w:tc>
          <w:tcPr>
            <w:tcW w:type="dxa" w:w="30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Livros → detalhe do livro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/Oncology/Leisure/Books</w:t>
            </w:r>
          </w:p>
        </w:tc>
        <w:tc>
          <w:tcPr>
            <w:tcW w:type="dxa" w:w="438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Busca com label; "nenhum resultado" com "Limpar busca"; detalhe com seta voltar visível</w:t>
            </w:r>
          </w:p>
        </w:tc>
        <w:tc>
          <w:tcPr>
            <w:tcW w:type="dxa" w:w="204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Todos + busca vazia</w:t>
            </w:r>
          </w:p>
        </w:tc>
      </w:tr>
      <w:tr>
        <w:trPr>
          <w:cantSplit/>
        </w:trPr>
        <w:tc>
          <w:tcPr>
            <w:tcW w:type="dxa" w:w="30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Saúde Mental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/MentalHealth</w:t>
            </w:r>
          </w:p>
        </w:tc>
        <w:tc>
          <w:tcPr>
            <w:tcW w:type="dxa" w:w="438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Motivação para pacientes e para cuidadores; práticas para ansiedade</w:t>
            </w:r>
          </w:p>
        </w:tc>
        <w:tc>
          <w:tcPr>
            <w:tcW w:type="dxa" w:w="204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Pressed</w:t>
            </w:r>
          </w:p>
        </w:tc>
      </w:tr>
      <w:tr>
        <w:trPr>
          <w:cantSplit/>
        </w:trPr>
        <w:tc>
          <w:tcPr>
            <w:tcW w:type="dxa" w:w="30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Contatos de emergência (SOS)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botão SOS</w:t>
            </w:r>
          </w:p>
        </w:tc>
        <w:tc>
          <w:tcPr>
            <w:tcW w:type="dxa" w:w="438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 toque a partir de qualquer tela pública; card expande e liga</w:t>
            </w:r>
          </w:p>
        </w:tc>
        <w:tc>
          <w:tcPr>
            <w:tcW w:type="dxa" w:w="204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Expandido, pressed</w:t>
            </w:r>
          </w:p>
        </w:tc>
      </w:tr>
      <w:tr>
        <w:trPr>
          <w:cantSplit/>
        </w:trPr>
        <w:tc>
          <w:tcPr>
            <w:tcW w:type="dxa" w:w="30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Mascote (chat)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/Mascot/Chat</w:t>
            </w:r>
          </w:p>
        </w:tc>
        <w:tc>
          <w:tcPr>
            <w:tcW w:type="dxa" w:w="438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Faixa de escopo e limite; sugestões; "escrevendo…"; erro com "Tentar de novo"; limpar com confirmação</w:t>
            </w:r>
          </w:p>
        </w:tc>
        <w:tc>
          <w:tcPr>
            <w:tcW w:type="dxa" w:w="204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Vazio, carregando, sucesso, erro</w:t>
            </w:r>
          </w:p>
        </w:tc>
      </w:tr>
      <w:tr>
        <w:trPr>
          <w:cantSplit/>
        </w:trPr>
        <w:tc>
          <w:tcPr>
            <w:tcW w:type="dxa" w:w="30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Meu Perfil (Hub)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/PersonalArea/Hub</w:t>
            </w:r>
          </w:p>
        </w:tc>
        <w:tc>
          <w:tcPr>
            <w:tcW w:type="dxa" w:w="438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Agrupamento "Minha jornada" / "Apoio"; configurações</w:t>
            </w:r>
          </w:p>
        </w:tc>
        <w:tc>
          <w:tcPr>
            <w:tcW w:type="dxa" w:w="204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Pressed</w:t>
            </w:r>
          </w:p>
        </w:tc>
      </w:tr>
      <w:tr>
        <w:trPr>
          <w:cantSplit/>
        </w:trPr>
        <w:tc>
          <w:tcPr>
            <w:tcW w:type="dxa" w:w="30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Diário → novo registro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/PersonalArea/Diary</w:t>
            </w:r>
          </w:p>
        </w:tc>
        <w:tc>
          <w:tcPr>
            <w:tcW w:type="dxa" w:w="438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Vazio → criar registro → toast → lista; excluir com confirmação</w:t>
            </w:r>
          </w:p>
        </w:tc>
        <w:tc>
          <w:tcPr>
            <w:tcW w:type="dxa" w:w="204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Vazio, carregando, sucesso, erro</w:t>
            </w:r>
          </w:p>
        </w:tc>
      </w:tr>
    </w:tbl>
    <w:p>
      <w:pPr>
        <w:spacing w:after="80"/>
      </w:pP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Como forçar estados na gravação: pressione e segure o logo "ONCOMENTE" no Início → Design System → "Simulação de estados" → ligue "Mostrar painel discreto". Um ponto no canto superior esquerdo abre o painel (Real, Carregando, Sucesso, Erro, Vazio), que vale para Lazer, Livros, detalhe do livro, Diário e Chat. "Desligar painel" volta ao comportamento real. Usuário de teste: demo.ux@oncomente.com.</w:t>
      </w: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2. Design system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Os tokens ficam em apps/mobile/src/constants/tokens.ts (arquivo sem dependência de React Native, lido também pelos scripts). Colors.ts e styles/global.ts passaram a derivar dos tokens, então as telas legadas herdam as correções de cor sem edição.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2"/>
        <w:gridCol w:w="5510"/>
        <w:gridCol w:w="3062"/>
      </w:tblGrid>
      <w:tr>
        <w:trPr>
          <w:cantSplit/>
          <w:tblHeader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Categoria</w:t>
            </w:r>
          </w:p>
        </w:tc>
        <w:tc>
          <w:tcPr>
            <w:tcW w:type="dxa" w:w="5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Tokens</w:t>
            </w:r>
          </w:p>
        </w:tc>
        <w:tc>
          <w:tcPr>
            <w:tcW w:type="dxa" w:w="306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Decisão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Cor (semântica)</w:t>
            </w:r>
          </w:p>
        </w:tc>
        <w:tc>
          <w:tcPr>
            <w:tcW w:type="dxa" w:w="5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text.primary #1A1A1A · text.secondary #575760 · text.brand #4E56C0 · action.primary #7A3FC4 · action.danger #B3261E · bg.surface/subtle/brandSubtle · border.*</w:t>
            </w:r>
          </w:p>
        </w:tc>
        <w:tc>
          <w:tcPr>
            <w:tcW w:type="dxa" w:w="306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#9B5DE0 (identidade) fica como acento; ações usam #7A3FC4, da mesma matiz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Tipografia</w:t>
            </w:r>
          </w:p>
        </w:tc>
        <w:tc>
          <w:tcPr>
            <w:tcW w:type="dxa" w:w="5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Montserrat 400/600/700: display 28/34 · title 22/28 · subtitle 18/24 · body 16/24 · small 14/20 · caption 13/18 · tabLabel 11/14</w:t>
            </w:r>
          </w:p>
        </w:tc>
        <w:tc>
          <w:tcPr>
            <w:tcW w:type="dxa" w:w="306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Sem serifa; corpo mínimo de 16 para leitura com fadiga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Espaçamento</w:t>
            </w:r>
          </w:p>
        </w:tc>
        <w:tc>
          <w:tcPr>
            <w:tcW w:type="dxa" w:w="5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xxs 4 · xs 8 · sm 16 · md 24 · lg 32 · xl 48</w:t>
            </w:r>
          </w:p>
        </w:tc>
        <w:tc>
          <w:tcPr>
            <w:tcW w:type="dxa" w:w="306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Escala de 8 (4 só para ajuste fino)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Raio / sombra</w:t>
            </w:r>
          </w:p>
        </w:tc>
        <w:tc>
          <w:tcPr>
            <w:tcW w:type="dxa" w:w="5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radius sm 8 · md 12 · lg 16 · xl 24 · pill · shadow sm/md</w:t>
            </w:r>
          </w:p>
        </w:tc>
        <w:tc>
          <w:tcPr>
            <w:tcW w:type="dxa" w:w="306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Superfícies suaves, coerentes com o tom acolhedor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Toque</w:t>
            </w:r>
          </w:p>
        </w:tc>
        <w:tc>
          <w:tcPr>
            <w:tcW w:type="dxa" w:w="5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touch.min 44 · touch.comfortable 48 · focusRing 3</w:t>
            </w:r>
          </w:p>
        </w:tc>
        <w:tc>
          <w:tcPr>
            <w:tcW w:type="dxa" w:w="306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Alvos ≥ 44×44 (WCAG 2.5.5); botões com 48 de altura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Componentes e estados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6"/>
        <w:gridCol w:w="4285"/>
        <w:gridCol w:w="4083"/>
      </w:tblGrid>
      <w:tr>
        <w:trPr>
          <w:cantSplit/>
          <w:tblHeader/>
        </w:trPr>
        <w:tc>
          <w:tcPr>
            <w:tcW w:type="dxa" w:w="183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Componente</w:t>
            </w:r>
          </w:p>
        </w:tc>
        <w:tc>
          <w:tcPr>
            <w:tcW w:type="dxa" w:w="428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Estados / variantes</w:t>
            </w:r>
          </w:p>
        </w:tc>
        <w:tc>
          <w:tcPr>
            <w:tcW w:type="dxa" w:w="408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Acessibilidade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Button</w:t>
            </w:r>
          </w:p>
        </w:tc>
        <w:tc>
          <w:tcPr>
            <w:tcW w:type="dxa" w:w="428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primary, secondary, ghost, danger × default, pressed, focus, disabled, loading</w:t>
            </w:r>
          </w:p>
        </w:tc>
        <w:tc>
          <w:tcPr>
            <w:tcW w:type="dxa" w:w="408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role button, accessibilityState (disabled/busy), altura 48, spinner na cor do texto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TextField</w:t>
            </w:r>
          </w:p>
        </w:tc>
        <w:tc>
          <w:tcPr>
            <w:tcW w:type="dxa" w:w="428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default, focus, preenchido, erro, disabled, senha, multilinha</w:t>
            </w:r>
          </w:p>
        </w:tc>
        <w:tc>
          <w:tcPr>
            <w:tcW w:type="dxa" w:w="408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Label sempre visível, erro com ícone e live region, botão olho com label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Card / NavItemCard</w:t>
            </w:r>
          </w:p>
        </w:tc>
        <w:tc>
          <w:tcPr>
            <w:tcW w:type="dxa" w:w="428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estático, pressionável, pressed, bloqueado (cadeado)</w:t>
            </w:r>
          </w:p>
        </w:tc>
        <w:tc>
          <w:tcPr>
            <w:tcW w:type="dxa" w:w="408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Nome acessível = título + subtítulo; alvo ≥ 64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Header</w:t>
            </w:r>
          </w:p>
        </w:tc>
        <w:tc>
          <w:tcPr>
            <w:tcW w:type="dxa" w:w="428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tela / seção, com ação "Ver todos"</w:t>
            </w:r>
          </w:p>
        </w:tc>
        <w:tc>
          <w:tcPr>
            <w:tcW w:type="dxa" w:w="408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role header; ação com hitSlop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Toast</w:t>
            </w:r>
          </w:p>
        </w:tc>
        <w:tc>
          <w:tcPr>
            <w:tcW w:type="dxa" w:w="428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sucesso, erro, info</w:t>
            </w:r>
          </w:p>
        </w:tc>
        <w:tc>
          <w:tcPr>
            <w:tcW w:type="dxa" w:w="408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role alert + live region; não bloqueante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Skeleton / LoadingState</w:t>
            </w:r>
          </w:p>
        </w:tc>
        <w:tc>
          <w:tcPr>
            <w:tcW w:type="dxa" w:w="428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lista, grade, carrossel</w:t>
            </w:r>
          </w:p>
        </w:tc>
        <w:tc>
          <w:tcPr>
            <w:tcW w:type="dxa" w:w="408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role progressbar + anúncio "Carregando…"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EmptyState / ErrorState</w:t>
            </w:r>
          </w:p>
        </w:tc>
        <w:tc>
          <w:tcPr>
            <w:tcW w:type="dxa" w:w="428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com/sem ação; "Tentar novamente"</w:t>
            </w:r>
          </w:p>
        </w:tc>
        <w:tc>
          <w:tcPr>
            <w:tcW w:type="dxa" w:w="408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ErrorState com role alert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ConfirmDialog, SosButton</w:t>
            </w:r>
          </w:p>
        </w:tc>
        <w:tc>
          <w:tcPr>
            <w:tcW w:type="dxa" w:w="428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destrutivo / padrão; SOS default/pressed</w:t>
            </w:r>
          </w:p>
        </w:tc>
        <w:tc>
          <w:tcPr>
            <w:tcW w:type="dxa" w:w="408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Funciona no web (Alert.alert não mostra botões)</w:t>
            </w:r>
          </w:p>
        </w:tc>
      </w:tr>
    </w:tbl>
    <w:p>
      <w:pPr>
        <w:spacing w:after="80"/>
      </w:pP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Tudo isso pode ser visto na tela oculta /design-system (long-press no logo), que exibe cores com a razão de contraste ao lado, tipografia, espaçamento, raios, sombras e todos os componentes em todos os estados.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Tabela de contraste (WCAG 2.x, mínimo 4.5:1)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Script: npx tsx apps/mobile/scripts/check-contrast.ts. Ele calcula (L1 + 0.05) / (L2 + 0.05) para todos os pares registrados em tokens.ts e falha se algum ficar abaixo de 4.5:1. Resultado na v1: 13 de 15 pares reprovados. Na v2: 25 de 25 aprovados.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v1 (antes)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97"/>
        <w:gridCol w:w="1224"/>
        <w:gridCol w:w="1224"/>
        <w:gridCol w:w="1224"/>
        <w:gridCol w:w="1635"/>
      </w:tblGrid>
      <w:tr>
        <w:trPr>
          <w:cantSplit/>
          <w:tblHeader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Uso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Texto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Fundo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Razão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AA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Botão primário / FAB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#9B5DE0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4.17:1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Links, "Sobre", "Cadastre-se"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#9B5DE0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4.17:1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Seta voltar no cartão branco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1.00:1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Logo/título do Início no web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#F2F2F2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1.12:1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"Continuar sem login"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#AAAAAA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2.32:1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"Limpar conversa" no chat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#888888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3.54:1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Placeholder do SoftLoginModal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#999999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2.85:1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Rótulo de aba inativa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#B15CCE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3.97:1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Título "Mensagem do Dia"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#0088FF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#E6FFF9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3.36:1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Card "Tratamentos" no Hub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#2980B9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#F0F6FC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3.95:1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Card "Calendário" no Hub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#1E9951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#F0F7F2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3.37:1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Card "Diário" no Hub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#8257E5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#F5F0FA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4.21:1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"Configurações da Conta" no Hub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#777777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#FAFAFA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4.29:1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Títulos em purpleSecondary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#4E56C0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6.15:1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Texto principal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#1A1A1A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17.40:1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v2 (depois)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97"/>
        <w:gridCol w:w="1224"/>
        <w:gridCol w:w="1224"/>
        <w:gridCol w:w="1224"/>
        <w:gridCol w:w="1635"/>
      </w:tblGrid>
      <w:tr>
        <w:trPr>
          <w:cantSplit/>
          <w:tblHeader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Uso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Texto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Fundo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Razão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AA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Texto principal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#1A1A1A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17.40:1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Texto secundário / descrições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#575760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7.15:1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Texto secundário em superfície neutra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#575760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#F4F4F6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6.51:1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Títulos de header e seções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#4E56C0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6.15:1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Header do Início sobre o gradiente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#4E56C0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#EEE3FB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4.98:1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Saudação do Início sobre o gradiente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#1A1A1A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#EEE3FB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14.10:1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Links e botão secundário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#7A3FC4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6.30:1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Link sobre superfície lilás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#7A3FC4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#F7F1FE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5.69:1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Chips e cards lilás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#5B2E99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#EEE3FB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7.41:1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Botão primário (default)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#7A3FC4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6.30:1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Botão primário (pressed)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#5B2E99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9.15:1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Botão SOS / perigo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#B3261E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6.54:1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Botão SOS (pressed)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#8C1D18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9.11:1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Botão desabilitado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#575760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#E6E6EA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5.74:1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Mensagem de erro de campo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#B3261E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6.54:1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ErrorState / toast de erro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#B3261E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#FDECEA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5.72:1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Toast de sucesso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#1E7A3C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#E8F5EC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4.79:1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Aviso (contatos de emergência)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#92400E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#FEF3C7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6.37:1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Faixa informativa (chat)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#0B5FA0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#E8F2FC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5.87:1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Mensagem do Dia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#1A1A1A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#E6FBF5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16.15:1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Balão do mascote no chat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#1A1A1A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#F4F4F6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15.84:1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Placeholder de campo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#575760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7.15:1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Subtítulo em card lilás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#575760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#F7F1FE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6.46:1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Balão do usuário no chat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#7A3FC4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6.30:1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Título sobre capa (scrim 78% no pior caso)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#474747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9.29:1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</w:tbl>
    <w:p>
      <w:pPr>
        <w:spacing w:after="80"/>
      </w:pP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Complemento: scripts/check-hardcoded.ts varre as telas do fluxo e os componentes do DS (51 arquivos) e falha se encontrar cor literal ou tamanho literal (fontSize, padding, margin, gap, raio, borda, size={n}) fora dos tokens. Resultado da v2: 0 ocorrências.</w:t>
      </w: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3. Arquitetura da informação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Sitemap atualizado (v2)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Início ─ saudação · grade (Oncologia, Saúde Mental, Mascote 🔒, Meu Perfil 🔒) · Mensagem do Dia · Sobre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├─ Oncologia (pública)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│  ├─ Autocuidado e tratamento: Sono · Exercícios físicos · Nutrição · Espiritualidade · Lazer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│  │                            Lazer → Atividades · Livros · Filmes · Séries → detalhe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│  └─ Seus direitos: Direitos do paciente (Lei dos 60 dias, FGTS, auxílio-doença, IR)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├─ Saúde Mental (pública)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│  ├─ Motivação: Para pacientes · Para cuidadores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│  └─ Cuidar da mente: Respiração · Meditação guiada · Apoio psicológico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├─ Mascote 🔒 → Chat (escopo, sugestões, limite diário)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├─ Meu Perfil 🔒 → Minha jornada (Diário, Tratamentos, Calendário) · Apoio (Sofreu discriminação?, Sobre) · Configurações</w:t>
      </w:r>
    </w:p>
    <w:p>
      <w:pPr>
        <w:spacing w:after="120" w:line="240"/>
      </w:pPr>
      <w:r>
        <w:rPr>
          <w:rFonts w:ascii="Consolas" w:cs="Consolas" w:eastAsia="Consolas" w:hAnsi="Consolas"/>
          <w:sz w:val="15"/>
          <w:szCs w:val="15"/>
        </w:rPr>
        <w:t xml:space="preserve">└─ SOS (global nas abas) → Contatos de emergência (CVV 188, SAMU 192, CAVIDA, Disque Saúde 136)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Mudanças de rótulo, agrupamento e profundidade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57"/>
        <w:gridCol w:w="2857"/>
        <w:gridCol w:w="4490"/>
      </w:tblGrid>
      <w:tr>
        <w:trPr>
          <w:cantSplit/>
          <w:tblHeader/>
        </w:trPr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Antes (v1)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Depois (v2)</w:t>
            </w:r>
          </w:p>
        </w:tc>
        <w:tc>
          <w:tcPr>
            <w:tcW w:type="dxa" w:w="449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Motivo</w:t>
            </w:r>
          </w:p>
        </w:tc>
      </w:tr>
      <w:tr>
        <w:trPr>
          <w:cantSplit/>
        </w:trPr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Botão de pânico "!" só na home de Saúde Mental: 2 toques a partir do Início, some nas subtelas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Botão "SOS" fixo em todas as telas das abas: 1 toque</w:t>
            </w:r>
          </w:p>
        </w:tc>
        <w:tc>
          <w:tcPr>
            <w:tcW w:type="dxa" w:w="449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Em crise, a ajuda precisa estar a um toque e ter nome reconhecível (P01)</w:t>
            </w:r>
          </w:p>
        </w:tc>
      </w:tr>
      <w:tr>
        <w:trPr>
          <w:cantSplit/>
        </w:trPr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Seção "Benefícios Legais" com o card "Lei dos 60 dias" → tela com 4 direitos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Seção "Seus direitos" → "Direitos do paciente" + subtítulo com os direitos</w:t>
            </w:r>
          </w:p>
        </w:tc>
        <w:tc>
          <w:tcPr>
            <w:tcW w:type="dxa" w:w="449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O rótulo prometia uma única lei; nomes diferentes para a mesma coisa (P11)</w:t>
            </w:r>
          </w:p>
        </w:tc>
      </w:tr>
      <w:tr>
        <w:trPr>
          <w:cantSplit/>
        </w:trPr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Motivacional: anônimo só via "Paciente"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"Para pacientes" e "Para cuidadores" sempre visíveis, ordenados pelo papel</w:t>
            </w:r>
          </w:p>
        </w:tc>
        <w:tc>
          <w:tcPr>
            <w:tcW w:type="dxa" w:w="449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Cuidador é público-alvo e o conteúdo é público (P13)</w:t>
            </w:r>
          </w:p>
        </w:tc>
      </w:tr>
      <w:tr>
        <w:trPr>
          <w:cantSplit/>
        </w:trPr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Abas restritas iguais às públicas; gate "É necessário autenticação"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Cadeado nas abas e na grade do Início; gate com selo "Área com login" e "Continuar sem conta"</w:t>
            </w:r>
          </w:p>
        </w:tc>
        <w:tc>
          <w:tcPr>
            <w:tcW w:type="dxa" w:w="449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Fronteira público/privado visível antes do toque (P14)</w:t>
            </w:r>
          </w:p>
        </w:tc>
      </w:tr>
      <w:tr>
        <w:trPr>
          <w:cantSplit/>
        </w:trPr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Aba "Mascote Virtual" truncada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Aba "Mascote"; rótulos quebram em 2 linhas em vez de truncar</w:t>
            </w:r>
          </w:p>
        </w:tc>
        <w:tc>
          <w:tcPr>
            <w:tcW w:type="dxa" w:w="449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Legibilidade em 390 px (P15)</w:t>
            </w:r>
          </w:p>
        </w:tc>
      </w:tr>
      <w:tr>
        <w:trPr>
          <w:cantSplit/>
        </w:trPr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Hub com 5 cards de cores livres, sem grupos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"Minha jornada" (Diário, Tratamentos, Calendário) e "Apoio"</w:t>
            </w:r>
          </w:p>
        </w:tc>
        <w:tc>
          <w:tcPr>
            <w:tcW w:type="dxa" w:w="449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Agrupamento por objetivo reduz a varredura</w:t>
            </w:r>
          </w:p>
        </w:tc>
      </w:tr>
      <w:tr>
        <w:trPr>
          <w:cantSplit/>
        </w:trPr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Ícones repetidos entre tópicos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Um ícone por tópico + subtítulo descritivo</w:t>
            </w:r>
          </w:p>
        </w:tc>
        <w:tc>
          <w:tcPr>
            <w:tcW w:type="dxa" w:w="449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Reconhecimento em vez de memorização (P12)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4. Avaliação heurística (v1)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Inspeção tela a tela da v1 (commit 92e5d3c) pelas 10 heurísticas de Nielsen, com evidência no código (arquivo:linha) e em prints do Expo Web a 390×844. Severidade na escala 0–4 de Nielsen. Foram 21 problemas, 5 deles de arquitetura da informação (marcados com AI).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"/>
        <w:gridCol w:w="1326"/>
        <w:gridCol w:w="4081"/>
        <w:gridCol w:w="1530"/>
        <w:gridCol w:w="510"/>
        <w:gridCol w:w="2247"/>
      </w:tblGrid>
      <w:tr>
        <w:trPr>
          <w:cantSplit/>
          <w:tblHeader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ID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Tela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Problema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Heurística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Sev.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Evidência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P01 (AI)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Saúde Mental → Contatos de emergência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Botão de Pânico só existe na home de Saúde Mental: são 2 toques a partir do Início e ele some nas subtelas. É um ícone "!" sem rótulo textual.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H7 Flexibilidade e eficiência de uso; H6 Reconhecimento em vez de memorização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MentalHealth/index.tsx:83 (único uso); print 08-saude-mental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P02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Início, Oncologia, Saúde Mental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Os cartões de navegação não aparecem no preview web: o FlatList dentro de um container flex:0 fica com altura 0. Telas sem saída visível.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 Visibilidade do status do sistema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HomeNavigationGrid.tsx:40, NavigationGrid.tsx:53; prints 03-inicio, 04-oncologia, 08-saude-mental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P03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Global (botões, links, FAB)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Texto branco sobre #9B5DE0 tem contraste 4.17:1, e #9B5DE0 sobre branco também. Os dois ficam abaixo do mínimo WCAG AA de 4.5:1.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H4 Consistência e padrões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styles/Buttons.ts:46; scripts/check-contrast.ts (v1)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P04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Todas as telas internas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 seta "voltar" do header é branca sobre o cartão branco (1:1), ou seja, invisível: o usuário só volta pela barra de abas ou pelo gesto do sistema. O título do header ainda se sobrepõe aos banners.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H3 Controle e liberdade do usuário; H8 Estética e design minimalista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CommonScreenOptions.ts:5 (headerTintColor white); prints 05-lazer, 06-livros (sem seta visível), 04-oncologia (título sobre o banner)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P05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Início (header)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Logo "ONCOMENTE" e título "Início" brancos sobre fundo claro (#F2F2F2 no web; 1.1:1): praticamente invisíveis, e o usuário não sabe onde está.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H8 Estética e design minimalista; H1 Visibilidade do status do sistema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HeaderLogo.tsx; (Home)/_layout.tsx:39; print 03-inicio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P06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Global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 fonte Montserrat é declarada em todo o app mas nunca é carregada. O texto cai no fallback do sistema (serifado no web), com tipografia inconsistente.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H4 Consistência e padrões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assets/fonts contém só SpaceMono; nenhum useFonts; prints 04 e 06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P07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Login, SoftLoginModal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Os campos só têm placeholder ("email@email.com", "senha"). Ao digitar, o rótulo some e o usuário precisa lembrar o que o campo pede.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H6 Reconhecimento em vez de memorização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LoginForm.tsx:24,34; SoftLoginModal.tsx; prints 01, 02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P08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Lazer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Quando a API falha, o hub de Lazer engole o erro e mostra seções vazias, sem dizer o que aconteceu nem como tentar de novo.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 Visibilidade do status do sistema; H9 Reconhecer, diagnosticar e recuperar-se de erros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Leisure/index.tsx:111 (allSettled sem tratar rejected); print evid-lazer-api-falhando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P09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Livros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Na falha de rede aparece um Alert bloqueante e, depois, "Nenhum livro disponível no momento". A mensagem é contraditória e não oferece "Tentar novamente".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H9 Reconhecer, diagnosticar e recuperar-se de erros; H3 Controle e liberdade do usuário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Leisure/Books/index.tsx:24; print evid-livros-api-falhando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P10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Diário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 erro, o toast "Não foi possível carregar" divide a tela com "Nenhuma entrada ainda. Comece registrando seu dia!". O usuário pode achar que perdeu os registros.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 Visibilidade do status do sistema; H9 Reconhecer, diagnosticar e recuperar-se de erros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PersonalArea/Diary/index.tsx:62; print evid-diario-api-falhando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P11 (AI)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Oncologia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Um mesmo assunto com três nomes: a seção "Benefícios Legais", o card "Lei dos 60 dias" e a rota LegalArea. O card promete uma única lei, mas a tela traz FGTS, auxílio-doença e isenção de IR.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H2 Correspondência entre o sistema e o mundo real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Oncology/index.tsx:20,43; print 07-beneficios-legais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P12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Oncologia, Saúde Mental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Ícones incoerentes: Nutrição e Espiritualidade usam o ícone de Lazer, Lazer usa o de "cuidar do paciente" e os três tópicos de saúde mental compartilham o mesmo ícone.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H6 Reconhecimento em vez de memorização; H4 Consistência e padrões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Oncology/index.tsx:14-16; MentalHealth/index.tsx:15-27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P13 (AI)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Saúde Mental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Quem não fez login só vê "Motivação Diária" (paciente): o conteúdo para cuidadores, que também é público, fica inacessível. Cuidador logado perde o conteúdo de paciente.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H7 Flexibilidade e eficiência de uso; H2 Correspondência entre o sistema e o mundo real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MentalHealth/index.tsx:30-54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P14 (AI)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Abas Mascote / Meu Perfil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 fronteira entre público e autenticado não é sinalizada: as abas parecem iguais às públicas, e o gate usa o jargão "É necessário autenticação" com o botão "Criar Conta" quebrado em duas linhas.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H2 Correspondência entre o sistema e o mundo real; H1 Visibilidade do status do sistema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Mascot/index.tsx:43; print 10-mascote-gate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P15 (AI)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Abas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rótulo da aba "Mascote Virtual" é truncado como "Mascote Virt…" em telas de 390 px.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H8 Estética e design minimalista; H4 Consistência e padrões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(Home)/_layout.tsx:77; todos os prints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P16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Início (SoftLoginModal)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modal de login reaparece em toda abertura do app para quem escolheu continuar sem conta. A saída "Continuar sem login" tem 2.3:1 de contraste e um alvo de toque pequeno.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H3 Controle e liberdade do usuário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(Home)/index.tsx:17; SoftLoginModal.tsx:116,226; print 01-inicio-modal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P17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Login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loading dos botões é quebrado: o ButtonPrimary usa a cor inválida "FFF" e o ButtonOutline põe spinner branco sobre fundo branco. Ao entrar, "Cadastrar" também fica em loading.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 Visibilidade do status do sistema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ButtonPrimary.tsx:12; ButtonOutline.tsx:12; LoginScreen.tsx:65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P18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Global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Nenhum accessibilityLabel/Role em todo o app. Botões só de ícone (FAB, olho da senha, enviar no chat, "+") ficam sem nome para leitores de tela. Vários alvos têm menos de 44×44.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H4 Consistência e padrões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grep accessibilityLabel = 0 ocorrências; OverlayButton.tsx; InputWithIcon.tsx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P19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Mascote (Chat)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"Limpar conversa" apaga todo o histórico sem confirmação nem desfazer, num texto de 11 px em #888 (3.5:1).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H5 Prevenção de erros; H3 Controle e liberdade do usuário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Mascot/Chat/index.tsx:100-104,197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P20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Mascote (Chat)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chat não informa o escopo (não substitui a equipe de saúde) nem o limite diário de mensagens. O usuário só descobre o limite quando faltam 2.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H10 Ajuda e documentação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Mascot/Chat/index.tsx:258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P21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Diário → Novo registro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título do registro só tem placeholder ("Como foi seu dia?"). O botão de salvar fica desabilitado com texto branco sobre #E0E0E0 (1.3:1) e não explica o que falta. No web, "Remover do diário" usa Alert.alert, que não mostra botões, e a exclusão nunca é confirmada.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H5 Prevenção de erros; H6 Reconhecimento em vez de memorização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Diary/create/index.tsx:92-99,140-150 (v1); Diary/index.tsx:89 (Alert)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Cobertura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"/>
        <w:gridCol w:w="5102"/>
        <w:gridCol w:w="816"/>
        <w:gridCol w:w="3470"/>
      </w:tblGrid>
      <w:tr>
        <w:trPr>
          <w:cantSplit/>
          <w:tblHeader/>
        </w:trPr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Heur.</w:t>
            </w:r>
          </w:p>
        </w:tc>
        <w:tc>
          <w:tcPr>
            <w:tcW w:type="dxa" w:w="510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Nome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Qtd.</w:t>
            </w:r>
          </w:p>
        </w:tc>
        <w:tc>
          <w:tcPr>
            <w:tcW w:type="dxa" w:w="347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Problemas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</w:t>
            </w:r>
          </w:p>
        </w:tc>
        <w:tc>
          <w:tcPr>
            <w:tcW w:type="dxa" w:w="510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Visibilidade do status do sistema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347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P02, P05, P08, P10, P14, P17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H2</w:t>
            </w:r>
          </w:p>
        </w:tc>
        <w:tc>
          <w:tcPr>
            <w:tcW w:type="dxa" w:w="510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Correspondência entre o sistema e o mundo real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47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P11, P13, P14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H3</w:t>
            </w:r>
          </w:p>
        </w:tc>
        <w:tc>
          <w:tcPr>
            <w:tcW w:type="dxa" w:w="510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Controle e liberdade do usuário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347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P04, P09, P16, P19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H4</w:t>
            </w:r>
          </w:p>
        </w:tc>
        <w:tc>
          <w:tcPr>
            <w:tcW w:type="dxa" w:w="510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Consistência e padrões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347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P03, P06, P12, P15, P18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H5</w:t>
            </w:r>
          </w:p>
        </w:tc>
        <w:tc>
          <w:tcPr>
            <w:tcW w:type="dxa" w:w="510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Prevenção de erros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47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P19, P21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H6</w:t>
            </w:r>
          </w:p>
        </w:tc>
        <w:tc>
          <w:tcPr>
            <w:tcW w:type="dxa" w:w="510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Reconhecimento em vez de memorização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347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P01, P07, P12, P21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H7</w:t>
            </w:r>
          </w:p>
        </w:tc>
        <w:tc>
          <w:tcPr>
            <w:tcW w:type="dxa" w:w="510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Flexibilidade e eficiência de uso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47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P01, P13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H8</w:t>
            </w:r>
          </w:p>
        </w:tc>
        <w:tc>
          <w:tcPr>
            <w:tcW w:type="dxa" w:w="510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Estética e design minimalista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47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P04, P05, P15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H9</w:t>
            </w:r>
          </w:p>
        </w:tc>
        <w:tc>
          <w:tcPr>
            <w:tcW w:type="dxa" w:w="510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Reconhecer, diagnosticar e recuperar-se de erros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47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P08, P09, P10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H10</w:t>
            </w:r>
          </w:p>
        </w:tc>
        <w:tc>
          <w:tcPr>
            <w:tcW w:type="dxa" w:w="510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Ajuda e documentação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47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P20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142"/>
        <w:gridCol w:w="3062"/>
      </w:tblGrid>
      <w:tr>
        <w:trPr>
          <w:cantSplit/>
          <w:tblHeader/>
        </w:trPr>
        <w:tc>
          <w:tcPr>
            <w:tcW w:type="dxa" w:w="714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Severidade</w:t>
            </w:r>
          </w:p>
        </w:tc>
        <w:tc>
          <w:tcPr>
            <w:tcW w:type="dxa" w:w="306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714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 (Catastrófico)</w:t>
            </w:r>
          </w:p>
        </w:tc>
        <w:tc>
          <w:tcPr>
            <w:tcW w:type="dxa" w:w="306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14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 (Maior)</w:t>
            </w:r>
          </w:p>
        </w:tc>
        <w:tc>
          <w:tcPr>
            <w:tcW w:type="dxa" w:w="306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14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 (Menor)</w:t>
            </w:r>
          </w:p>
        </w:tc>
        <w:tc>
          <w:tcPr>
            <w:tcW w:type="dxa" w:w="306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14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 (Cosmético)</w:t>
            </w:r>
          </w:p>
        </w:tc>
        <w:tc>
          <w:tcPr>
            <w:tcW w:type="dxa" w:w="306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5. Matriz de iteração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Cada problema da avaliação heurística tem uma correção aplicada na v2 (commit a11b51d, tag ux-av2-v2). As linhas TA-xx ficam reservadas para os achados do Think Aloud, a preencher depois das sessões.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"/>
        <w:gridCol w:w="2346"/>
        <w:gridCol w:w="1122"/>
        <w:gridCol w:w="510"/>
        <w:gridCol w:w="3265"/>
        <w:gridCol w:w="1530"/>
        <w:gridCol w:w="921"/>
      </w:tblGrid>
      <w:tr>
        <w:trPr>
          <w:cantSplit/>
          <w:tblHeader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ID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Problema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Heurística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Sev.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Correção aplicada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Tela / componente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P01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Botão de Pânico só existe na home de Saúde Mental: são 2 toques a partir do Início e ele some nas subtelas.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H7, H6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Botão "SOS" com rótulo textual fixo no layout das abas (Início, Oncologia, Saúde Mental e subtelas), a 1 toque de qualquer tela pública, com accessibilityLabel "Ajuda urgente".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components/ds/SosButton.tsx · (Home)/_layout.tsx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P02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Os cartões de navegação não aparecem no preview web: o FlatList dentro de um container flex:0 fica com altura 0.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Grades renderizadas com map + flexWrap (sem lista virtualizada aninhada); funcionam igual no nativo e no web.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components/ui/Navigation/*.tsx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P03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Texto branco sobre #9B5DE0 tem contraste 4.17:1, e #9B5DE0 sobre branco também.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H4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Token action.primary #7A3FC4 (mesma matiz roxa), com 6.30:1 contra branco. O #9B5DE0 fica como acento de marca, só em bordas, ícones grandes e decoração.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constants/tokens.ts · components/ds/Button.tsx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P04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 seta "voltar" do header é branca sobre o cartão branco (1:1), ou seja, invisível: o usuário só volta pela barra de abas ou pelo gesto do sistema.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H3, H8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Seta e título em text.brand #4E56C0 (6.15:1), seta com rótulo acessível "Voltar", e conteúdo das telas do fluxo começando abaixo do header.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constants/CommonScreenOptions.ts · telas do fluxo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P05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Logo "ONCOMENTE" e título "Início" brancos sobre fundo claro (#F2F2F2 no web; 1.1:1): praticamente invisíveis, e o usuário não sabe onde está..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H8, H1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Logo e título em text.brand. O long-press no logo abre o Design System (atalho de dev).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components/home/HeaderLogo.tsx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P06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 fonte Montserrat é declarada em todo o app mas nunca é carregada.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H4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Montserrat 400/600/700 carregada no RootLayout (@expo-google-fonts/montserrat). A escala tipográfica fica nos tokens.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app/_layout.tsx · constants/tokens.ts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P07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Os campos só têm placeholder ("email@email.com", "senha").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H6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TextField com label visível acima do campo, mensagem de erro associada e accessibilityLabel.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components/ds/TextField.tsx · LoginForm · SoftLoginModal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P08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Quando a API falha, o hub de Lazer engole o erro e mostra seções vazias, sem dizer o que aconteceu nem como tentar de novo..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H1, H9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Estados explícitos: Skeleton (carregando), conteúdo (sucesso), ErrorState com "Tentar novamente" (erro) e EmptyState (vazio).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hooks/useAsyncResource.ts · components/ds/States.tsx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P09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Na falha de rede aparece um Alert bloqueante e, depois, "Nenhum livro disponível no momento".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H9, H3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ErrorState não bloqueante com ação de retry. O EmptyState só aparece quando a lista realmente vem vazia ou quando a busca não encontra nada.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Leisure/Books/index.tsx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P10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 erro, o toast "Não foi possível carregar" divide a tela com "Nenhuma entrada ainda.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H1, H9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ErrorState ("Seus registros estão seguros") com retry, separado do EmptyState com chamada para criar a primeira entrada.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PersonalArea/Diary/index.tsx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P11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Um mesmo assunto com três nomes: a seção "Benefícios Legais", o card "Lei dos 60 dias" e a rota LegalArea.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H2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Seção "Seus direitos" com o card "Direitos do paciente" e o subtítulo "Lei dos 60 dias, FGTS, auxílio-doença, IR". O título da tela é o mesmo do card.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Oncology/index.tsx · Oncology/_layout.tsx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P12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Ícones incoerentes: Nutrição e Espiritualidade usam o ícone de Lazer, Lazer usa o de "cuidar do paciente" e os três tópicos de saúde mental compartilham o mesmo ícone..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H6, H4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Um ícone vetorial distinto por tópico (lua, halter, maçã, folha, pipoca etc.), sempre acompanhado de rótulo e subtítulo.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components/ui/Navigation/NavigationGrid.tsx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P13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Quem não fez login só vê "Motivação Diária" (paciente): o conteúdo para cuidadores, que também é público, fica inacessível.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H7, H2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Os dois cards ficam sempre visíveis ("Para pacientes" e "Para cuidadores"), com o do papel do usuário primeiro.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MentalHealth/index.tsx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P14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 fronteira entre público e autenticado não é sinalizada: as abas parecem iguais às públicas, e o gate usa o jargão "É necessário autenticação" com o botão "Criar Conta" quebrado em duas linhas..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H2, H1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Cadeado nas abas restritas enquanto não há login, texto "Entre na sua conta para conversar" e botões empilhados em largura total.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(Home)/_layout.tsx · Mascot/index.tsx · PersonalArea/index.tsx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P15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rótulo da aba "Mascote Virtual" é truncado como "Mascote Virt…" em telas de 390 px..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H8, H4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Rótulo curto "Mascote" na aba. O nome completo fica no título da tela.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(Home)/_layout.tsx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P16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modal de login reaparece em toda abertura do app para quem escolheu continuar sem conta.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H3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 escolha é lembrada (AsyncStorage). "Agora não" vira um botão secundário de 48 px com contraste ≥ 4.5:1, mais um botão fechar com rótulo.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components/home/SoftLoginModal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P17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loading dos botões é quebrado: o ButtonPrimary usa a cor inválida "FFF" e o ButtonOutline põe spinner branco sobre fundo branco.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Button único com estados default, pressed, focus, disabled e loading. O spinner usa a cor do texto da variante e só o botão acionado mostra loading.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components/ds/Button.tsx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P18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Nenhum accessibilityLabel/Role em todo o app.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H4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Componentes do DS exigem label. accessibilityRole/State nos interativos e hitSlop/minHeight de 44 a 48 px.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components/ds/* · telas do fluxo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P19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"Limpar conversa" apaga todo o histórico sem confirmação nem desfazer, num texto de 11 px em #888 (3.5:1)..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H5, H3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Botão "Limpar" com rótulo e alvo de 44 px, mais uma confirmação explicando que a conversa será apagada.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Mascot/Chat/index.tsx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P20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chat não informa o escopo (não substitui a equipe de saúde) nem o limite diário de mensagens.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H10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Faixa informativa fixa: "Respostas informativas, não substituem sua equipe de saúde · N mensagens restantes hoje", com botão de limpar rotulado.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Mascot/Chat/index.tsx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P21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título do registro só tem placeholder ("Como foi seu dia?").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H5, H6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DiaryForm compartilhado (criar/editar) com labels visíveis, contador de caracteres, emoções como radio acessível e botão sempre ativo que aponta o campo faltante. Exclusão via ConfirmDialog ("Manter" / "Excluir registro").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components/diary/DiaryForm.tsx · components/ds/ConfirmDialog.tsx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TA-01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TA-02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TA-03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 preencher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6. Protocolo Think Aloud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Aplicação: 2 ou 3 participantes, de preferência um paciente ou ex-paciente e um cuidador. Sessões individuais de 20 a 30 minutos, presenciais, com o app na v2 em celular ou navegador (390×844) e o usuário de teste já criado. Gravar só a tela e o áudio, com autorização. O moderador não ajuda: se a pessoa travar por mais de 2 minutos, registra falha e segue para a próxima tarefa.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Termo de consentimento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Eu, ______________________________________, concordo em participar voluntariamente do teste de usabilidade do aplicativo OncoMente, realizado por ______________________ na disciplina de UX do curso ____________________. Entendo que: (1) quem está sendo avaliado é o aplicativo, não eu; (2) vou pensar em voz alta enquanto realizo tarefas; (3) a tela e o áudio serão gravados apenas para análise acadêmica, sem divulgação do meu nome ou imagem; (4) posso interromper a qualquer momento, sem prejuízo; (5) não preciso compartilhar informações pessoais de saúde, pois as tarefas usam uma conta de teste.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Assinatura: ______________________________   Data: ___/___/______   Autorizo gravação de áudio: (  ) sim  (  ) não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Roteiro de introdução (ler para o participante)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"Obrigado por ajudar. Este é o OncoMente, um app de apoio para quem enfrenta o câncer e para quem cuida."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"Vou pedir algumas tarefas. Não existe resposta certa: se algo for difícil, a falha é do app, e é isso que queremos descobrir."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"Pense em voz alta: diga o que está procurando, o que espera que aconteça e o que achou estranho."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"Eu não vou poder ajudar durante as tarefas, mas você pode desistir de qualquer uma quando quiser."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Treino (30 s): "Na tela inicial, diga em voz alta o que você acha que cada cartão faz."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Tarefas e critérios de sucesso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2"/>
        <w:gridCol w:w="3877"/>
        <w:gridCol w:w="2857"/>
        <w:gridCol w:w="2858"/>
      </w:tblGrid>
      <w:tr>
        <w:trPr>
          <w:cantSplit/>
          <w:tblHeader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Tarefa</w:t>
            </w:r>
          </w:p>
        </w:tc>
        <w:tc>
          <w:tcPr>
            <w:tcW w:type="dxa" w:w="387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Enunciado (ler)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Caminho esperado</w:t>
            </w:r>
          </w:p>
        </w:tc>
        <w:tc>
          <w:tcPr>
            <w:tcW w:type="dxa" w:w="285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Sucesso se…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T1</w:t>
            </w:r>
          </w:p>
        </w:tc>
        <w:tc>
          <w:tcPr>
            <w:tcW w:type="dxa" w:w="387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"Você está muito ansioso(a) e quer falar com alguém agora. Encontre um número para ligar."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SOS → Contatos de emergência → expandir CVV/SAMU</w:t>
            </w:r>
          </w:p>
        </w:tc>
        <w:tc>
          <w:tcPr>
            <w:tcW w:type="dxa" w:w="285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Chega aos contatos em até 30 s e identifica o número sem ajuda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T2</w:t>
            </w:r>
          </w:p>
        </w:tc>
        <w:tc>
          <w:tcPr>
            <w:tcW w:type="dxa" w:w="387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"Você quer ler algo leve. Encontre um livro recomendado e descubra onde encontrá-lo."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Oncologia → Lazer → Livros (Ver todos) → livro</w:t>
            </w:r>
          </w:p>
        </w:tc>
        <w:tc>
          <w:tcPr>
            <w:tcW w:type="dxa" w:w="285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Abre o detalhe de um livro e lê "Onde encontrar" em até 2 min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T3</w:t>
            </w:r>
          </w:p>
        </w:tc>
        <w:tc>
          <w:tcPr>
            <w:tcW w:type="dxa" w:w="387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"Descubra se a lei garante um prazo para começar o tratamento."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Oncologia → Direitos do paciente</w:t>
            </w:r>
          </w:p>
        </w:tc>
        <w:tc>
          <w:tcPr>
            <w:tcW w:type="dxa" w:w="285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Encontra e cita o prazo de 60 dias em até 2 min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T4</w:t>
            </w:r>
          </w:p>
        </w:tc>
        <w:tc>
          <w:tcPr>
            <w:tcW w:type="dxa" w:w="387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"Entre na sua conta (dados no cartão) e registre no diário como foi o seu dia."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Meu Perfil → Entrar → Diário → Registrar meu dia → Salvar</w:t>
            </w:r>
          </w:p>
        </w:tc>
        <w:tc>
          <w:tcPr>
            <w:tcW w:type="dxa" w:w="285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Registro salvo (toast) e visível na lista em até 3 min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T5</w:t>
            </w:r>
          </w:p>
        </w:tc>
        <w:tc>
          <w:tcPr>
            <w:tcW w:type="dxa" w:w="387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"Pergunte ao mascote algo sobre enjoo durante o tratamento."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Mascote → digitar ou tocar na sugestão → enviar</w:t>
            </w:r>
          </w:p>
        </w:tc>
        <w:tc>
          <w:tcPr>
            <w:tcW w:type="dxa" w:w="285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Envia a pergunta e lê a resposta em até 2 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Ficha de observação: participante ___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Perfil: (  ) paciente  (  ) ex-paciente  (  ) cuidador(a)  (  ) outro: ________   Faixa etária: ______   Uso de celular: (  ) pouco  (  ) médio  (  ) muito   Data: ___/___   Dispositivo: ____________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14"/>
        <w:gridCol w:w="918"/>
        <w:gridCol w:w="1224"/>
        <w:gridCol w:w="3469"/>
        <w:gridCol w:w="2653"/>
        <w:gridCol w:w="1226"/>
      </w:tblGrid>
      <w:tr>
        <w:trPr>
          <w:cantSplit/>
          <w:tblHeader/>
        </w:trPr>
        <w:tc>
          <w:tcPr>
            <w:tcW w:type="dxa" w:w="7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Tarefa</w:t>
            </w:r>
          </w:p>
        </w:tc>
        <w:tc>
          <w:tcPr>
            <w:tcW w:type="dxa" w:w="91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Tempo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Resultado (S / P / F)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Falas relevantes (literais)</w:t>
            </w:r>
          </w:p>
        </w:tc>
        <w:tc>
          <w:tcPr>
            <w:tcW w:type="dxa" w:w="265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Pontos de travamento / erros</w:t>
            </w:r>
          </w:p>
        </w:tc>
        <w:tc>
          <w:tcPr>
            <w:tcW w:type="dxa" w:w="12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Heur.</w:t>
            </w:r>
          </w:p>
        </w:tc>
      </w:tr>
      <w:tr>
        <w:trPr>
          <w:cantSplit/>
          <w:trHeight w:val="1100" w:hRule="atLeast"/>
        </w:trPr>
        <w:tc>
          <w:tcPr>
            <w:tcW w:type="dxa" w:w="7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T1</w:t>
            </w:r>
          </w:p>
        </w:tc>
        <w:tc>
          <w:tcPr>
            <w:tcW w:type="dxa" w:w="91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65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7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T2</w:t>
            </w:r>
          </w:p>
        </w:tc>
        <w:tc>
          <w:tcPr>
            <w:tcW w:type="dxa" w:w="91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65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7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T3</w:t>
            </w:r>
          </w:p>
        </w:tc>
        <w:tc>
          <w:tcPr>
            <w:tcW w:type="dxa" w:w="91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65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7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T4</w:t>
            </w:r>
          </w:p>
        </w:tc>
        <w:tc>
          <w:tcPr>
            <w:tcW w:type="dxa" w:w="91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65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7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T5</w:t>
            </w:r>
          </w:p>
        </w:tc>
        <w:tc>
          <w:tcPr>
            <w:tcW w:type="dxa" w:w="91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65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S = sucesso sem ajuda · P = sucesso parcial ou com desvio · F = falha ou desistência. Observações gerais: ________________________________________________________________________________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Questionário SUS (System Usability Scale)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Marque de 1 (discordo totalmente) a 5 (concordo totalmente).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"/>
        <w:gridCol w:w="6632"/>
        <w:gridCol w:w="612"/>
        <w:gridCol w:w="612"/>
        <w:gridCol w:w="612"/>
        <w:gridCol w:w="612"/>
        <w:gridCol w:w="614"/>
      </w:tblGrid>
      <w:tr>
        <w:trPr>
          <w:cantSplit/>
          <w:tblHeader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#</w:t>
            </w:r>
          </w:p>
        </w:tc>
        <w:tc>
          <w:tcPr>
            <w:tcW w:type="dxa" w:w="6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Afirmação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1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2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3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4</w:t>
            </w:r>
          </w:p>
        </w:tc>
        <w:tc>
          <w:tcPr>
            <w:tcW w:type="dxa" w:w="6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Eu acho que gostaria de usar este app com frequência.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Achei o app desnecessariamente complexo.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Achei o app fácil de usar.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Acho que precisaria de ajuda de uma pessoa para conseguir usar o app.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funções do app estão bem integradas.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6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Achei que o app tem muitas inconsistências.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6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Imagino que a maioria das pessoas aprenderia a usar o app rapidamente.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6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Achei o app muito trabalhoso de usar.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6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Eu me senti confiante usando o app.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6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Precisei aprender muitas coisas antes de conseguir usar o app.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Cálculo: itens ímpares = nota − 1; itens pares = 5 − nota; soma × 2,5 = SUS (0–100). Referência: 68 = média. Escore do participante: ______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Consolidação (preencher depois das sessões)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2"/>
        <w:gridCol w:w="1020"/>
        <w:gridCol w:w="1020"/>
        <w:gridCol w:w="1020"/>
        <w:gridCol w:w="1020"/>
        <w:gridCol w:w="1020"/>
        <w:gridCol w:w="1020"/>
        <w:gridCol w:w="2452"/>
      </w:tblGrid>
      <w:tr>
        <w:trPr>
          <w:cantSplit/>
          <w:tblHeader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Participante</w:t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T1</w:t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T2</w:t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T3</w:t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T4</w:t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T5</w:t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SUS</w:t>
            </w:r>
          </w:p>
        </w:tc>
        <w:tc>
          <w:tcPr>
            <w:tcW w:type="dxa" w:w="245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Principal achado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P1</w:t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5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P2</w:t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5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P3</w:t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5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7. Justificativas de UX (roteiro de fala)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Telas e navegabilidade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Nenhuma tela sem saída: seta voltar visível em todas as telas internas (v1: branca no branco), e gates de login com "Continuar sem conta".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Quatro estados explícitos em toda tela com dados: o usuário nunca fica diante de uma tela vazia sem saber se é erro ou ausência de conteúdo.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Feedback ao toque em todo interativo (pressed com escala e cor). Toast confirma ações (login, salvar, excluir) sem bloquear.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Design system e acessibilidade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O roxo de identidade #9B5DE0 reprovava (4.17:1). Mantivemos a matiz e escurecemos só onde há texto (#7A3FC4, 6.30:1): a identidade fica, a leitura melhora.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Contraste verificado por script, não a olho: 13 de 15 pares reprovavam na v1; os 25 pares da v2 passam.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Montserrat de fato carregada (na v1 era declarada e nunca carregada); corpo de 16 px pensando em fadiga e efeitos visuais do tratamento.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Alvos ≥ 44×44, labels visíveis, nomes acessíveis em botões de ícone e roles corretos para leitores de tela.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Heurísticas e iteração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21 problemas reais, todos com evidência em arquivo:linha ou print, cobrindo as 10 heurísticas; os de severidade 3–4 foram priorizados.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Prevenção de erros em ações irreversíveis (apagar conversa, excluir registro) com diálogo que nomeia o que será perdido.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Erros dizem o que aconteceu e o que fazer ("Seus registros estão seguros. Verifique a conexão") em vez de culpar o usuário.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Arquitetura da informação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SOS a 1 toque de qualquer tela pública: em crise, profundidade de navegação é risco.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Rótulos na linguagem do usuário ("Seus direitos", "Para cuidadores") e sinalização do que exige login antes do toque.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Agrupamento por objetivo no Meu Perfil ("Minha jornada" e "Apoio").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Público vulnerável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Tom acolhedor nos textos de erro e de vazio; o aviso dos contatos de emergência deixou de dizer "Trote é crime" e passou a orientar ("Em risco de vida, ligue 192").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O modal de login não insiste: "Agora não" é lembrado. O mascote declara que não substitui a equipe de saúde.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Densidade baixa: um tema por card, subtítulo curto e ações primárias de largura total.</w:t>
      </w: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8. Checklist da rubrica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2"/>
        <w:gridCol w:w="3469"/>
        <w:gridCol w:w="5103"/>
      </w:tblGrid>
      <w:tr>
        <w:trPr>
          <w:cantSplit/>
          <w:tblHeader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Bloco (peso)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Requisito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Onde está comprovado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Telas (30%)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 a 10 telas-chave com transições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Seção 1 (10 telas); prints da seção 9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Telas (30%)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Estados de botão default / pressed / focus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Button.tsx; /design-system → Button (4 variantes × 5 estados)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Telas (30%)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Carregando, sucesso, erro e vazio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useAsyncResource.ts; States.tsx; prints 17–22; painel de simulação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Telas (30%)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Nenhum erro de fluxo / beco sem saída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scripts/smoke-flow.mjs: 8/8 passos no Expo Web, sem erros de página; bundle Android exportado sem erro; P02, P04, P14 e P21 corrigidos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DS (20%)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Tokens com contraste ≥ 4.5:1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tokens.ts; check-contrast.ts (25/25); seção 2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DS (20%)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Tipografia sem serifa e espaçamento padronizado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Montserrat carregada; escala de 8; check-hardcoded.ts (0 ocorrências)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DS (20%)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Toque ≥ 44×44 e labels visíveis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touch.min/comfortable; TextField; labels em Login, Cadastro, Diário, busca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Heurísticas (25%)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Avaliação pelas 10 heurísticas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Seção 4 (21 problemas, cobertura H1–H10)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Heurísticas (25%)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Think Aloud com 2–3 usuários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Seção 6 (TCLE, roteiro, 5 tarefas, ficha, SUS); resultados a preencher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Heurísticas (25%)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Matriz de iteração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Seção 5; commits v1 → v2 (tags ux-av2-v1 / ux-av2-v2)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AI (15%)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Menus claros, rótulos, organização lógica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Seção 3 (sitemap, rótulos, profundidade do SOS)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Apresentação (10%)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Justificativa embasada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Seção 7 (roteiro de fala)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9. Prints antes / depois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Capturados automaticamente (apps/mobile/scripts/capture-screens.mjs, Expo Web + Playwright, 390×844). No web, o fundo das telas sai cinza claro em vez do gradiente lilás do app nativo.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2551"/>
        <w:gridCol w:w="2551"/>
        <w:gridCol w:w="2551"/>
      </w:tblGrid>
      <w:tr>
        <w:trPr>
          <w:cantSplit/>
        </w:trPr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Início com modal de login: antes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Início com modal de login: depois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Login: antes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Login: depois</w:t>
            </w:r>
          </w:p>
        </w:tc>
      </w:tr>
      <w:tr>
        <w:trPr>
          <w:cantSplit/>
        </w:trPr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Início (logado): antes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Início (logado): depois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Oncologia: antes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Oncologia: depois</w:t>
            </w:r>
          </w:p>
        </w:tc>
      </w:tr>
      <w:tr>
        <w:trPr>
          <w:cantSplit/>
        </w:trPr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Lazer: antes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1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Lazer: depois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1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Saúde Mental: antes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1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Saúde Mental: depois</w:t>
            </w:r>
          </w:p>
        </w:tc>
      </w:tr>
      <w:tr>
        <w:trPr>
          <w:cantSplit/>
        </w:trPr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1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Contatos de emergência: antes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1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Contatos de emergência: depois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1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Mascote sem login: antes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1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Mascote sem login: depois</w:t>
            </w:r>
          </w:p>
        </w:tc>
      </w:tr>
      <w:tr>
        <w:trPr>
          <w:cantSplit/>
        </w:trPr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1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Chat do mascote: antes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1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Chat do mascote: depois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1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Meu Perfil (Hub): antes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2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Meu Perfil (Hub): depois</w:t>
            </w:r>
          </w:p>
        </w:tc>
      </w:tr>
      <w:tr>
        <w:trPr>
          <w:cantSplit/>
        </w:trPr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2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Diário: antes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2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Diário: depois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2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Livros: antes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2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Livros: depois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Estados de interface e novas telas (v2) · evidências de falha da v1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0"/>
        <w:gridCol w:w="2040"/>
        <w:gridCol w:w="2040"/>
        <w:gridCol w:w="2040"/>
        <w:gridCol w:w="2040"/>
      </w:tblGrid>
      <w:tr>
        <w:trPr>
          <w:cantSplit/>
        </w:trPr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2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Carregando (Lazer)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2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Erro (Livros)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2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Vazio (Diário)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2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Erro de validação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2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Erro (Chat)</w:t>
            </w:r>
          </w:p>
        </w:tc>
      </w:tr>
      <w:tr>
        <w:trPr>
          <w:cantSplit/>
        </w:trPr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3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Painel de simulação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3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Tela /design-system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3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Detalhe do livro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3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v1 · Lazer: seções vazias sem aviso (P08)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3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v1 · Livros: "nenhum livro" no erro (P09)</w:t>
            </w:r>
          </w:p>
        </w:tc>
      </w:tr>
      <w:tr>
        <w:trPr>
          <w:cantSplit/>
        </w:trPr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3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v1 · Diário: erro + "nenhuma entrada" (P10)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/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/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/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/>
        </w:tc>
      </w:tr>
    </w:tbl>
    <w:p>
      <w:pPr>
        <w:spacing w:after="60"/>
      </w:pPr>
    </w:p>
    <w:sectPr>
      <w:footerReference w:type="default" r:id="rId6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75760"/>
        <w:sz w:val="14"/>
        <w:szCs w:val="14"/>
      </w:rPr>
      <w:t xml:space="preserve">OncoMente · AV2 UX · </w:t>
    </w:r>
    <w:r>
      <w:rPr>
        <w:rFonts w:ascii="Calibri" w:cs="Calibri" w:eastAsia="Calibri" w:hAnsi="Calibri"/>
        <w:color w:val="575760"/>
        <w:sz w:val="14"/>
        <w:szCs w:val="14"/>
      </w:rPr>
      <w:fldChar w:fldCharType="begin"/>
    </w:r>
    <w:r>
      <w:rPr>
        <w:rFonts w:ascii="Calibri" w:cs="Calibri" w:eastAsia="Calibri" w:hAnsi="Calibri"/>
        <w:color w:val="575760"/>
        <w:sz w:val="14"/>
        <w:szCs w:val="14"/>
      </w:rPr>
      <w:instrText xml:space="preserve">PAGE</w:instrText>
    </w:r>
    <w:r>
      <w:rPr>
        <w:rFonts w:ascii="Calibri" w:cs="Calibri" w:eastAsia="Calibri" w:hAnsi="Calibri"/>
        <w:color w:val="575760"/>
        <w:sz w:val="14"/>
        <w:szCs w:val="14"/>
      </w:rPr>
      <w:fldChar w:fldCharType="separate"/>
    </w:r>
    <w:r>
      <w:rPr>
        <w:rFonts w:ascii="Calibri" w:cs="Calibri" w:eastAsia="Calibri" w:hAnsi="Calibri"/>
        <w:color w:val="575760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1"/>
    <w:basedOn w:val="Normal"/>
    <w:next w:val="Normal"/>
    <w:qFormat/>
    <w:pPr>
      <w:spacing w:after="80" w:before="200"/>
      <w:outlineLvl w:val="0"/>
    </w:pPr>
    <w:rPr>
      <w:rFonts w:ascii="Calibri" w:cs="Calibri" w:eastAsia="Calibri" w:hAnsi="Calibri"/>
      <w:b/>
      <w:bCs/>
      <w:color w:val="5B2E99"/>
      <w:sz w:val="26"/>
      <w:szCs w:val="26"/>
    </w:rPr>
  </w:style>
  <w:style w:type="paragraph" w:styleId="Heading2">
    <w:name w:val="Heading2"/>
    <w:basedOn w:val="Normal"/>
    <w:next w:val="Normal"/>
    <w:qFormat/>
    <w:pPr>
      <w:spacing w:after="80" w:before="140"/>
      <w:outlineLvl w:val="1"/>
    </w:pPr>
    <w:rPr>
      <w:rFonts w:ascii="Calibri" w:cs="Calibri" w:eastAsia="Calibri" w:hAnsi="Calibri"/>
      <w:b/>
      <w:bCs/>
      <w:color w:val="5B2E99"/>
      <w:sz w:val="22"/>
      <w:szCs w:val="22"/>
    </w:rPr>
  </w:style>
  <w:style w:type="paragraph" w:styleId="Heading3">
    <w:name w:val="Heading3"/>
    <w:basedOn w:val="Normal"/>
    <w:next w:val="Normal"/>
    <w:qFormat/>
    <w:pPr>
      <w:spacing w:after="80" w:before="100"/>
      <w:outlineLvl w:val="2"/>
    </w:pPr>
    <w:rPr>
      <w:rFonts w:ascii="Calibri" w:cs="Calibri" w:eastAsia="Calibri" w:hAnsi="Calibri"/>
      <w:b/>
      <w:bCs/>
      <w:color w:val="5B2E99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272c052a0f11bb4e3171d8dc03afd9526a1a850f.jpg"/><Relationship Id="rId9" Type="http://schemas.openxmlformats.org/officeDocument/2006/relationships/image" Target="media/08adca580c761d34176598d6c3ee2a454acaa54d.jpg"/><Relationship Id="rId10" Type="http://schemas.openxmlformats.org/officeDocument/2006/relationships/image" Target="media/dd786926f9ab3a14b9c0ae9e6962c09ac63b9e87.jpg"/><Relationship Id="rId11" Type="http://schemas.openxmlformats.org/officeDocument/2006/relationships/image" Target="media/8ec34c54f78707b2c022daa486b4ec5a1b1fd6a3.jpg"/><Relationship Id="rId12" Type="http://schemas.openxmlformats.org/officeDocument/2006/relationships/image" Target="media/e854a92bc347876edc11e767435e6c2392016ece.jpg"/><Relationship Id="rId13" Type="http://schemas.openxmlformats.org/officeDocument/2006/relationships/image" Target="media/54a735dfe9df9f7436cde9db92810437a9482694.jpg"/><Relationship Id="rId14" Type="http://schemas.openxmlformats.org/officeDocument/2006/relationships/image" Target="media/0cad47448bb0dea7ca747249af3002b2afa07de0.jpg"/><Relationship Id="rId15" Type="http://schemas.openxmlformats.org/officeDocument/2006/relationships/image" Target="media/4bbcf40c936f3c111c6afb6c514906d725f9c79a.jpg"/><Relationship Id="rId16" Type="http://schemas.openxmlformats.org/officeDocument/2006/relationships/image" Target="media/9741f6fa2f5095084ce20b43eae4fffaf079649a.jpg"/><Relationship Id="rId17" Type="http://schemas.openxmlformats.org/officeDocument/2006/relationships/image" Target="media/5794a4ec05b26bbe5bbf7ce859ba61674e50d4c4.jpg"/><Relationship Id="rId18" Type="http://schemas.openxmlformats.org/officeDocument/2006/relationships/image" Target="media/d4aff5811c7908afdaa03e91eb5a822454d0a136.jpg"/><Relationship Id="rId19" Type="http://schemas.openxmlformats.org/officeDocument/2006/relationships/image" Target="media/580c72020f9cb0ab004b58c2497968789bcfbe42.jpg"/><Relationship Id="rId20" Type="http://schemas.openxmlformats.org/officeDocument/2006/relationships/image" Target="media/30d0f6d26535162f248ba9f8b1ef1796e96c7517.jpg"/><Relationship Id="rId21" Type="http://schemas.openxmlformats.org/officeDocument/2006/relationships/image" Target="media/b4eb80161b1bf0035837b909bc7b225ff25382d4.jpg"/><Relationship Id="rId22" Type="http://schemas.openxmlformats.org/officeDocument/2006/relationships/image" Target="media/bd4ec0101eed744e1fe3432abb44532cc58320b7.jpg"/><Relationship Id="rId23" Type="http://schemas.openxmlformats.org/officeDocument/2006/relationships/image" Target="media/98f997ca696d91b1b5c2b6d22ea5ee48ba085640.jpg"/><Relationship Id="rId24" Type="http://schemas.openxmlformats.org/officeDocument/2006/relationships/image" Target="media/d1b7a7949f4b55402755f992d5cb371e83ef910c.jpg"/><Relationship Id="rId25" Type="http://schemas.openxmlformats.org/officeDocument/2006/relationships/image" Target="media/ba88daed414993465e10e4512fc5c8e209f92d67.jpg"/><Relationship Id="rId26" Type="http://schemas.openxmlformats.org/officeDocument/2006/relationships/image" Target="media/c4f3283755b90b200b94da8348e4c67d9a0760b4.jpg"/><Relationship Id="rId27" Type="http://schemas.openxmlformats.org/officeDocument/2006/relationships/image" Target="media/19fadd34e264017821211405a0d94c6aa95a78ce.jpg"/><Relationship Id="rId28" Type="http://schemas.openxmlformats.org/officeDocument/2006/relationships/image" Target="media/4b4793c868e8f573d70e3e46b64d703727b429b2.jpg"/><Relationship Id="rId29" Type="http://schemas.openxmlformats.org/officeDocument/2006/relationships/image" Target="media/73dcfbb49fa57226f40eedc9d325f949b943dde5.jpg"/><Relationship Id="rId30" Type="http://schemas.openxmlformats.org/officeDocument/2006/relationships/image" Target="media/0df5849717f5e836d3f01c3bb31774eb06d0be6d.jpg"/><Relationship Id="rId31" Type="http://schemas.openxmlformats.org/officeDocument/2006/relationships/image" Target="media/a97fd34fc3a75bb0052fc31ed8be0a8ccc65a866.jpg"/><Relationship Id="rId32" Type="http://schemas.openxmlformats.org/officeDocument/2006/relationships/image" Target="media/7006b89028dca151f8f48c6fd0b6399cb52405ea.jpg"/><Relationship Id="rId33" Type="http://schemas.openxmlformats.org/officeDocument/2006/relationships/image" Target="media/5ed41e849a40c680bdbbaebc0f94d8496521c0c6.jpg"/><Relationship Id="rId34" Type="http://schemas.openxmlformats.org/officeDocument/2006/relationships/image" Target="media/b1f9c1a7d9096de979dbbf808dd5311bc8357d50.jpg"/><Relationship Id="rId35" Type="http://schemas.openxmlformats.org/officeDocument/2006/relationships/image" Target="media/3db93f3d155f0bb4d9d39d02139a36cc43c67b72.jpg"/><Relationship Id="rId36" Type="http://schemas.openxmlformats.org/officeDocument/2006/relationships/image" Target="media/58bd0616116a7319eba92765f3dbf4fd961b1e80.jpg"/><Relationship Id="rId37" Type="http://schemas.openxmlformats.org/officeDocument/2006/relationships/image" Target="media/a8cf11f6dd973586d370102af4953b79f338b13f.jpg"/><Relationship Id="rId38" Type="http://schemas.openxmlformats.org/officeDocument/2006/relationships/image" Target="media/12787b10e0e65c1673d6d78344f044e6b5b3dbcf.jpg"/><Relationship Id="rId39" Type="http://schemas.openxmlformats.org/officeDocument/2006/relationships/image" Target="media/1cbea4a520ee4b2abee01f9b08246d6f7cc09be5.jpg"/><Relationship Id="rId40" Type="http://schemas.openxmlformats.org/officeDocument/2006/relationships/image" Target="media/7144dfa2c9fedfa0c262fef1c58fc2e203bab0e7.jpg"/><Relationship Id="rId41" Type="http://schemas.openxmlformats.org/officeDocument/2006/relationships/image" Target="media/5bcf31450a80cd237e414b93e2bd563eab16e879.jpg"/><Relationship Id="rId42" Type="http://schemas.openxmlformats.org/officeDocument/2006/relationships/image" Target="media/23b792e1e7a3eceec0543bc7fd8bd326634813c1.jpg"/><Relationship Id="rId4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OncoMente: 2ª Avaliação de UX</dc:title>
  <dc:creator>OncoMente</dc:creator>
  <cp:lastModifiedBy>Un-named</cp:lastModifiedBy>
  <cp:revision>1</cp:revision>
  <dcterms:created xsi:type="dcterms:W3CDTF">2026-10-18T18:55:13.043Z</dcterms:created>
  <dcterms:modified xsi:type="dcterms:W3CDTF">2026-10-18T18:55:13.044Z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