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SCRIPT DI PRESENTAZIONE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AB8F0"/>
          <w:sz w:val="26"/>
          <w:szCs w:val="26"/>
        </w:rPr>
        <w:t xml:space="preserve">Olist E-Commerce · Data Warehouse &amp; Visualization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7A92"/>
          <w:sz w:val="18"/>
          <w:szCs w:val="18"/>
        </w:rPr>
        <w:t xml:space="preserve">Emanuele Colecchia  ·  ~10 minuti  ·  ~1.300 parole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8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AB8F0"/>
                <w:sz w:val="18"/>
                <w:szCs w:val="18"/>
              </w:rPr>
              <w:t xml:space="preserve">⏱  Timing in blu</w:t>
            </w:r>
            <w:r>
              <w:rPr>
                <w:rFonts w:ascii="Arial" w:cs="Arial" w:eastAsia="Arial" w:hAnsi="Arial"/>
                <w:color w:val="5A7A92"/>
                <w:sz w:val="18"/>
                <w:szCs w:val="18"/>
              </w:rPr>
              <w:t xml:space="preserve">   →   quanto tempo dedicare alla sezione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8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A9B6F"/>
                <w:sz w:val="18"/>
                <w:szCs w:val="18"/>
              </w:rPr>
              <w:t xml:space="preserve">▶  In verde corsivo</w:t>
            </w:r>
            <w:r>
              <w:rPr>
                <w:rFonts w:ascii="Arial" w:cs="Arial" w:eastAsia="Arial" w:hAnsi="Arial"/>
                <w:color w:val="5A7A92"/>
                <w:sz w:val="18"/>
                <w:szCs w:val="18"/>
              </w:rPr>
              <w:t xml:space="preserve">   →   azione da fare sulla presentazione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F0"/>
                <w:sz w:val="18"/>
                <w:szCs w:val="18"/>
              </w:rPr>
              <w:t xml:space="preserve">0:00 – 1:00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82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INTRODUZIONE — Dataset e obiettivo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A9B6F"/>
          <w:sz w:val="18"/>
          <w:szCs w:val="18"/>
        </w:rPr>
        <w:t xml:space="preserve">▶  Aprire presentazione.html nel browser — siamo sulla slide 1, titolo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Buongiorno. Il mio progetto riguarda il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Brazilian E-Commerce Public Dataset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di Olist, disponibile su Kaggle — circa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100.000 ordini reali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effettuati tra il 2016 e il 2018 su un marketplace brasiliano che mette in contatto piccoli venditori con le grandi piattaforme di e-commerce del Paese.</w:t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Il dataset è composto da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9 file CSV separati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: ordini, clienti, prodotti, venditori, pagamenti, recensioni, coordinate geografiche e una tabella di traduzione delle categorie dal portoghese all'inglese.</w:t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L'obiettivo era costruire un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sistema DSS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— Decision Support System — in grado di rispondere a 5 domande di business: come si distribuisce il fatturato geograficamente, come evolvono le vendite nel tempo, quali categorie producono più ricavi, come sono le performance di consegna, e quali metodi di pagamento preferiscono i clienti.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F0"/>
                <w:sz w:val="18"/>
                <w:szCs w:val="18"/>
              </w:rPr>
              <w:t xml:space="preserve">1:00 – 2:00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82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PIPELINE — Architettura end-to-end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A9B6F"/>
          <w:sz w:val="18"/>
          <w:szCs w:val="18"/>
        </w:rPr>
        <w:t xml:space="preserve">▶  Slide 2 → Dataset &amp; Obiettivi, poi Slide 3 → Pipeline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Il percorso segue il classico processo data warehouse in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7 fasi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. Partendo dai CSV grezzi, ho eseguito un Data Quality Assessment con scorecard programmatica e supporto LLM. I dati puliti sono stati caricati in un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Reconciled Database SQLite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, poi trasformati tramite ETL in uno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Star Schema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— fact_sales con 5 dimensioni — e infine visualizzati con 4 dashboard Tableau collegate in una Story.</w:t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Una scelta architetturale importante: ho mantenuto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due layer distinti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nello stesso database. Il reconciled layer — prefisso rec_ — conserva tutti i flag di qualità ed è l'operational data store. Il data warehouse layer — dim_* e fact_sales — è ottimizzato per query OLAP, privo di flag, con gerarchie denormalizzate.</w:t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L'integrità referenziale è stata verificata post-ETL: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zero FK orfane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verso tutte le dimensioni. Gli unici 3 NULL in payment_type_id corrispondono a ordini annullati prima della registrazione del pagamento — sono null semanticamente corretti, non errori.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F0"/>
                <w:sz w:val="18"/>
                <w:szCs w:val="18"/>
              </w:rPr>
              <w:t xml:space="preserve">2:00 – 4:00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82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DATA QUALITY ASSESSMENT — Problemi, scorecard e LLM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A9B6F"/>
          <w:sz w:val="18"/>
          <w:szCs w:val="18"/>
        </w:rPr>
        <w:t xml:space="preserve">▶  Slide 4 → Data Quality Analysis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La fase di DQA ha seguito la tassonomia del corso —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sei tipologie di problemi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: missing values, wrong values, noisy data, violations of attribute dependencies, record duplication e varying value representations.</w:t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Per ogni tabella ho calcolato automaticamente 5 indici con una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scorecard programmatica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: Validity, Completeness, Uniqueness, Consistency e Precision. La scorecard è oggettiva e riproducibile, ma ha un limite importante: i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noisy data sono invisibili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se la regola di Validity è permissiva. Per esempio, price &gt; 0 accetta qualsiasi valore positivo, anche 6.735 BRL — statisticamente anomalo per un e-commerce, ma non rilevato dalla regola.</w:t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Per questo ho integrato il modello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llama3.2:3b, eseguito localmente via Ollama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— quindi offline, nessun dato inviato all'esterno — in tre momenti: narrativa qualitativa dei problemi per tabella, classificazione dei valori null come MCAR, MAR o MNAR, e pianificazione degli interventi con priorità high, medium e low.</w:t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I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problemi più significativi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: in Geolocation avevo 1 milione di record originali, ridotti a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19.015 dopo aggregazione per prefisso postale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e filtraggio delle coordinate fuori dal Brasile. In Reviews il LLM ha suggerito di verificare la chiave su coppia (review_id, order_id) anziché il solo review_id — scoprendo che 789 review_id appartenevano a più ordini distinti: usando la chiave corretta ho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recuperato 814 record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che sarebbero stati erroneamente eliminati.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F0"/>
                <w:sz w:val="18"/>
                <w:szCs w:val="18"/>
              </w:rPr>
              <w:t xml:space="preserve">4:00 – 6:00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82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DFM E STAR SCHEMA — Progettazione concettuale e logica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A9B6F"/>
          <w:sz w:val="18"/>
          <w:szCs w:val="18"/>
        </w:rPr>
        <w:t xml:space="preserve">▶  Slide 5 → Scelte di Progettazione, poi Slide 6 → Star Schema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Per la progettazione concettuale ho usato il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metodo data-driven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. Il fatto scelto è la riga d'ordine —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Order Item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— perché è l'evento atomico del dominio: l'acquisto di un singolo prodotto da un singolo venditore. Rispetto all'ordine aggregato, permette analisi a grana fine per prodotto e venditore, impossibili aggregando a livello ordine.</w:t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Dall'attribute tree ho ricavato lo schema DFM con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pruning e grafting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. Ho fatto pruning di customer_unique_id — a livello di order item il customer_id è già sufficiente, includerlo sarebbe ridondante. Ho fatto grafting di zip_code_prefix: eliminato il vertice e collegato direttamente city e state al genitore — si perde la granularità per CAP ma si preserva la gerarchia geografica utile per le analisi.</w:t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Le misure le ho classificate per additività: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price e freight_value sono additive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— sommabili lungo tutte le dimensioni.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delivery_lead_days e delivery_delay_days sono semi-additive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— aggregabili con AVG, MAX, MIN ma non SUM nel tempo, perché sommare giorni di consegna non ha significato.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review_score è non additiva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— solo AVG è valido semanticamente.</w:t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Un caso critico: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payment_value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è il totale del pagamento per ordine ma in fact_sales viene replicato su ogni riga item. Per un ordine con 3 prodotti appare 3 volte — una SUM diretta vale 19.23 milioni contro i 15.38 reali, una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sovrastima del 25%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. La soluzione è aggregare per order_id prima di sommare.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F0"/>
                <w:sz w:val="18"/>
                <w:szCs w:val="18"/>
              </w:rPr>
              <w:t xml:space="preserve">6:00 – 7:30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82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DASHBOARD 1 e 2 — Delivery e Geographic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A9B6F"/>
          <w:sz w:val="18"/>
          <w:szCs w:val="18"/>
        </w:rPr>
        <w:t xml:space="preserve">▶  Slide 7 → Dashboard Delivery Performance</w:t>
      </w:r>
    </w:p>
    <w:p>
      <w:pPr>
        <w:spacing w:after="60"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La prima dashboard analizza le performance di consegna. Sul secondo monitor mostro Tableau live. Come metrica ho scelto delivery_lead_days — giorni dall'acquisto alla consegna effettiva — invece di delay_days, perché il delay medio è negativo: gli ordini arrivano mediamente 12 giorni prima della stima, un grafico con valori negativi sarebbe controintuitivo. I numeri chiave: 71% degli ordini consegnati entro 14 giorni — 70.096 on time contro 28.570 lenti. In Tableau eseguo uno Slice usando il filtro anno in alto a destra per isolare un anno specifico. Poi mostro il Drill-Down: dalla distribuzione On Time vs Slow scendo al grafico Delivery by State, dove si vede il gap geografico — RR a 27.8 giorni, AP a 25.9, contro SP a soli 9 giorni.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A9B6F"/>
          <w:sz w:val="18"/>
          <w:szCs w:val="18"/>
        </w:rPr>
        <w:t xml:space="preserve">▶  Slide 8 → Dashboard Geographic Analysis</w:t>
      </w:r>
    </w:p>
    <w:p>
      <w:pPr>
        <w:spacing w:after="60"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La seconda dashboard mostra la distribuzione geografica degli ordini. SP da sola concentra il 41.9% degli ordini — SP, RJ e MG insieme arrivano al 66%. Nota tecnica: la mappa riempita ha richiesto un campo calcolato CASE WHEN per tradurre le abbreviazioni degli stati brasiliani — SP, RJ, MG — nei nomi per esteso riconosciuti da Tableau, impostando Country=Brazil. In Tableau mostro lo Slice: cliccando su uno stato nel treemap o sulla mappa tutti gli altri grafici si filtrano automaticamente grazie alle Dashboard Actions. Il blocco SP nel treemap è visivamente immediato — quasi metà dello spazio.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F0"/>
                <w:sz w:val="18"/>
                <w:szCs w:val="18"/>
              </w:rPr>
              <w:t xml:space="preserve">7:30 – 9:00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82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DASHBOARD 3 e 4 — Sales e Time Trends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A9B6F"/>
          <w:sz w:val="18"/>
          <w:szCs w:val="18"/>
        </w:rPr>
        <w:t xml:space="preserve">▶  Slide 9 → Dashboard Sales Analysis</w:t>
      </w:r>
    </w:p>
    <w:p>
      <w:pPr>
        <w:spacing w:after="60"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La terza dashboard analizza vendite, pagamenti e soddisfazione. Revenue totale: 13 milioni di reais su 98.666 ordini. La categoria top è health_beauty, seguita da watches_gifts e bed_bath_table. In Tableau eseguo uno Slice cliccando su health_beauty nel bar chart — il bubble chart dei pagamenti e la review distribution si filtrano di conseguenza. Poi mostro il Dice: aggiungo il filtro sul metodo di pagamento, dove credit_card domina nettamente. Sul review score: distribuzione fortemente asimmetrica — 56.885 cinque stelle contro 10.786 una stella. La mediana è 4 su 5, non la media. Nota tecnica: le barre erano distanziate in modo anomalo perché Tableau trattava il campo come misura continua — risolto con INT() e conversione a dimensione discreta.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A9B6F"/>
          <w:sz w:val="18"/>
          <w:szCs w:val="18"/>
        </w:rPr>
        <w:t xml:space="preserve">▶  Slide 10 → Dashboard Time Trends</w:t>
      </w:r>
    </w:p>
    <w:p>
      <w:pPr>
        <w:spacing w:after="60"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La quarta dashboard mostra l'evoluzione temporale della piattaforma. Crescita del +191% dal 2016 al 2017. In Tableau parto dal bar chart Orders by Year: è il Roll-Up — stessa misura aggregata al livello più alto, per anno. Poi mostro il Drill-Down: passo al line chart Monthly Orders, dove ogni linea è un anno a granularità mensile. Infine la heatmap Orders Heatmap dimostra il Pivot: stesso cubo di dati, assi ruotati — mese sulle righe, anno sulle colonne. Si vede chiaramente il picco di novembre 2017 — Black Friday brasiliano — e il dataset che si interrompe ad agosto 2018.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B8F0"/>
                <w:sz w:val="18"/>
                <w:szCs w:val="18"/>
              </w:rPr>
              <w:t xml:space="preserve">9:00 – 10:00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82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KEY FINDINGS E LIMITAZIONI — Chiusura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A9B6F"/>
          <w:sz w:val="18"/>
          <w:szCs w:val="18"/>
        </w:rPr>
        <w:t xml:space="preserve">▶  Slide 11 → Key Findings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I risultati principali: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12 giorni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di lead time mediano con forte gap Nord-Sud.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São Paulo supera il 40%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degli ordini e i primi 5 stati generano il 70% del fatturato. La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carta di credito al 73.9%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domina i pagamenti. Il review score mediano è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4 su 5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con distribuzione asimmetrica verso i valori alti.</w:t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Due </w:t>
      </w:r>
      <w:r>
        <w:rPr>
          <w:rFonts w:ascii="Arial" w:cs="Arial" w:eastAsia="Arial" w:hAnsi="Arial"/>
          <w:b/>
          <w:bCs/>
          <w:color w:val="C8D8E8"/>
          <w:sz w:val="22"/>
          <w:szCs w:val="22"/>
        </w:rPr>
        <w:t xml:space="preserve">limitazioni che voglio segnalare</w:t>
      </w:r>
      <w:r>
        <w:rPr>
          <w:rFonts w:ascii="Arial" w:cs="Arial" w:eastAsia="Arial" w:hAnsi="Arial"/>
          <w:color w:val="A0B8C8"/>
          <w:sz w:val="22"/>
          <w:szCs w:val="22"/>
        </w:rPr>
        <w:t xml:space="preserve"> esplicitamente: macro_category per i prodotti e region per i clienti sono previste nel DFM concettuale ma non implementate nello star schema, perché la sorgente non include un mapping categoria→macrocategoria né un mapping stato→regione geografica. Sono estensioni pianificate per una versione futura del progetto, insieme a una bridge table per gestire correttamente gli ordini con più metodi di pagamento.</w:t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A0B8C8"/>
          <w:sz w:val="22"/>
          <w:szCs w:val="22"/>
        </w:rPr>
        <w:t xml:space="preserve">Questo è il progetto. Sono disponibile per domande.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9B6F" w:sz="4"/>
              <w:left w:val="single" w:color="CCCCCC" w:sz="1"/>
              <w:bottom w:val="single" w:color="CCCCCC" w:sz="1"/>
              <w:right w:val="single" w:color="CCCCCC" w:sz="1"/>
            </w:tcBorders>
            <w:shd w:fill="0A1A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A9B6F"/>
                <w:sz w:val="18"/>
                <w:szCs w:val="18"/>
              </w:rPr>
              <w:t xml:space="preserve">NOTE PER LA PRESENTAZIONE</w:t>
            </w:r>
          </w:p>
          <w:p>
            <w:r>
              <w:rPr>
                <w:rFonts w:ascii="Arial" w:cs="Arial" w:eastAsia="Arial" w:hAnsi="Arial"/>
                <w:color w:val="A0B8C8"/>
                <w:sz w:val="18"/>
                <w:szCs w:val="18"/>
              </w:rPr>
              <w:t xml:space="preserve">• Ritmo consigliato: circa 120-130 parole al minuto — non accelerare nelle parti tecniche</w:t>
            </w:r>
          </w:p>
          <w:p>
            <w:r>
              <w:rPr>
                <w:rFonts w:ascii="Arial" w:cs="Arial" w:eastAsia="Arial" w:hAnsi="Arial"/>
                <w:color w:val="A0B8C8"/>
                <w:sz w:val="18"/>
                <w:szCs w:val="18"/>
              </w:rPr>
              <w:t xml:space="preserve">• Per la sezione DFM (Attribute Tree, pruning/grafting) aprire la relazione PDF se il prof chiede di approfondire</w:t>
            </w:r>
          </w:p>
          <w:p>
            <w:r>
              <w:rPr>
                <w:rFonts w:ascii="Arial" w:cs="Arial" w:eastAsia="Arial" w:hAnsi="Arial"/>
                <w:color w:val="A0B8C8"/>
                <w:sz w:val="18"/>
                <w:szCs w:val="18"/>
              </w:rPr>
              <w:t xml:space="preserve">• Lightbox: clicca sugli screenshot Tableau per ingrandirli durante la demo</w:t>
            </w:r>
          </w:p>
          <w:p>
            <w:r>
              <w:rPr>
                <w:rFonts w:ascii="Arial" w:cs="Arial" w:eastAsia="Arial" w:hAnsi="Arial"/>
                <w:color w:val="A0B8C8"/>
                <w:sz w:val="18"/>
                <w:szCs w:val="18"/>
              </w:rPr>
              <w:t xml:space="preserve">• Se il prof interrompe: rispondi brevemente e proponi di riprendere dov'eri — non perdere il filo</w:t>
            </w:r>
          </w:p>
          <w:p>
            <w:r>
              <w:rPr>
                <w:rFonts w:ascii="Arial" w:cs="Arial" w:eastAsia="Arial" w:hAnsi="Arial"/>
                <w:color w:val="A0B8C8"/>
                <w:sz w:val="18"/>
                <w:szCs w:val="18"/>
              </w:rPr>
              <w:t xml:space="preserve">• Le domande più probabili: MCAR/MAR/MNAR · additività misure · granularità · perché Star e non Snowflake · payment_value double counting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2436" w:sz="4" w:space="1"/>
      </w:pBdr>
      <w:jc w:val="right"/>
    </w:pPr>
    <w:r>
      <w:rPr>
        <w:rFonts w:ascii="Arial" w:cs="Arial" w:eastAsia="Arial" w:hAnsi="Arial"/>
        <w:color w:val="5A7A92"/>
        <w:sz w:val="16"/>
        <w:szCs w:val="16"/>
      </w:rPr>
      <w:t xml:space="preserve">Emanuele Colecchia  ·  Pag. </w:t>
    </w:r>
    <w:r>
      <w:rPr>
        <w:rFonts w:ascii="Arial" w:cs="Arial" w:eastAsia="Arial" w:hAnsi="Arial"/>
        <w:color w:val="5A7A9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2436" w:sz="4" w:space="1"/>
      </w:pBdr>
    </w:pPr>
    <w:r>
      <w:rPr>
        <w:rFonts w:ascii="Arial" w:cs="Arial" w:eastAsia="Arial" w:hAnsi="Arial"/>
        <w:color w:val="5A7A92"/>
        <w:sz w:val="16"/>
        <w:szCs w:val="16"/>
      </w:rPr>
      <w:t xml:space="preserve">SCRIPT DI PRESENTAZIONE — Olist Data Warehouse</w:t>
    </w:r>
    <w:r>
      <w:rPr>
        <w:rFonts w:ascii="Arial" w:cs="Arial" w:eastAsia="Arial" w:hAnsi="Arial"/>
        <w:color w:val="3A9B6F"/>
        <w:sz w:val="16"/>
        <w:szCs w:val="16"/>
      </w:rPr>
      <w:t xml:space="preserve">   ·   10 minuti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D7DD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2026-06-26T09:16:31.732Z</dcterms:created>
  <dcterms:modified xsi:type="dcterms:W3CDTF">2026-06-26T09:16:31.733Z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